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DEAF3" w14:textId="77777777" w:rsidR="002D0C02" w:rsidRPr="00580EDF" w:rsidRDefault="00580EDF" w:rsidP="00580EDF">
      <w:pPr>
        <w:spacing w:before="240" w:after="240"/>
        <w:rPr>
          <w:rFonts w:cs="Arial"/>
          <w:b/>
          <w:sz w:val="28"/>
          <w:szCs w:val="28"/>
        </w:rPr>
      </w:pPr>
      <w:bookmarkStart w:id="0" w:name="_GoBack"/>
      <w:r>
        <w:rPr>
          <w:rFonts w:cs="Arial"/>
          <w:b/>
          <w:sz w:val="28"/>
          <w:szCs w:val="28"/>
        </w:rPr>
        <w:t>LGA Perceptions S</w:t>
      </w:r>
      <w:r w:rsidR="00E103A5" w:rsidRPr="00580EDF">
        <w:rPr>
          <w:rFonts w:cs="Arial"/>
          <w:b/>
          <w:sz w:val="28"/>
          <w:szCs w:val="28"/>
        </w:rPr>
        <w:t>urvey 201</w:t>
      </w:r>
      <w:r w:rsidR="00C03731" w:rsidRPr="00580EDF">
        <w:rPr>
          <w:rFonts w:cs="Arial"/>
          <w:b/>
          <w:sz w:val="28"/>
          <w:szCs w:val="28"/>
        </w:rPr>
        <w:t>5</w:t>
      </w:r>
      <w:r w:rsidR="00755679" w:rsidRPr="00580EDF">
        <w:rPr>
          <w:rFonts w:cs="Arial"/>
          <w:b/>
          <w:sz w:val="28"/>
          <w:szCs w:val="28"/>
        </w:rPr>
        <w:t>/2016</w:t>
      </w:r>
    </w:p>
    <w:bookmarkEnd w:id="0"/>
    <w:p w14:paraId="744DEAF4" w14:textId="77777777" w:rsidR="002D0C02" w:rsidRPr="00B61D2E" w:rsidRDefault="002D0C02" w:rsidP="002D0C02">
      <w:pPr>
        <w:jc w:val="center"/>
        <w:rPr>
          <w:rFonts w:cs="Arial"/>
          <w:b/>
          <w:sz w:val="28"/>
          <w:szCs w:val="28"/>
          <w:u w:val="single"/>
        </w:rPr>
      </w:pPr>
    </w:p>
    <w:p w14:paraId="744DEAF5" w14:textId="77777777" w:rsidR="002D0C02" w:rsidRDefault="002D0C02" w:rsidP="002D0C02">
      <w:pPr>
        <w:rPr>
          <w:rFonts w:cs="Arial"/>
          <w:b/>
          <w:sz w:val="22"/>
          <w:szCs w:val="22"/>
        </w:rPr>
      </w:pPr>
      <w:r w:rsidRPr="00B61D2E">
        <w:rPr>
          <w:rFonts w:cs="Arial"/>
          <w:b/>
          <w:sz w:val="22"/>
          <w:szCs w:val="22"/>
        </w:rPr>
        <w:t>Purpose of report</w:t>
      </w:r>
    </w:p>
    <w:p w14:paraId="744DEAF6" w14:textId="77777777" w:rsidR="00580EDF" w:rsidRDefault="00580EDF" w:rsidP="002D0C02">
      <w:pPr>
        <w:rPr>
          <w:rFonts w:cs="Arial"/>
          <w:b/>
          <w:sz w:val="22"/>
          <w:szCs w:val="22"/>
        </w:rPr>
      </w:pPr>
    </w:p>
    <w:p w14:paraId="744DEAF7" w14:textId="77777777" w:rsidR="0060524C" w:rsidRPr="0060524C" w:rsidRDefault="0060524C" w:rsidP="002D0C02">
      <w:pPr>
        <w:rPr>
          <w:rFonts w:cs="Arial"/>
          <w:sz w:val="22"/>
          <w:szCs w:val="22"/>
        </w:rPr>
      </w:pPr>
      <w:r w:rsidRPr="0060524C">
        <w:rPr>
          <w:rFonts w:cs="Arial"/>
          <w:sz w:val="22"/>
          <w:szCs w:val="22"/>
        </w:rPr>
        <w:t xml:space="preserve">For direction. </w:t>
      </w:r>
    </w:p>
    <w:p w14:paraId="744DEAF8" w14:textId="77777777" w:rsidR="0060524C" w:rsidRDefault="0060524C" w:rsidP="002D0C02">
      <w:pPr>
        <w:rPr>
          <w:rFonts w:cs="Arial"/>
          <w:b/>
          <w:sz w:val="22"/>
          <w:szCs w:val="22"/>
        </w:rPr>
      </w:pPr>
    </w:p>
    <w:p w14:paraId="744DEAF9" w14:textId="77777777" w:rsidR="0060524C" w:rsidRDefault="0060524C" w:rsidP="002D0C02">
      <w:pPr>
        <w:rPr>
          <w:rFonts w:cs="Arial"/>
          <w:b/>
          <w:sz w:val="22"/>
          <w:szCs w:val="22"/>
        </w:rPr>
      </w:pPr>
      <w:r>
        <w:rPr>
          <w:rFonts w:cs="Arial"/>
          <w:b/>
          <w:sz w:val="22"/>
          <w:szCs w:val="22"/>
        </w:rPr>
        <w:t xml:space="preserve">Summary </w:t>
      </w:r>
    </w:p>
    <w:p w14:paraId="744DEAFA" w14:textId="77777777" w:rsidR="0060524C" w:rsidRDefault="0060524C" w:rsidP="002D0C02">
      <w:pPr>
        <w:rPr>
          <w:rFonts w:cs="Arial"/>
          <w:b/>
          <w:sz w:val="22"/>
          <w:szCs w:val="22"/>
        </w:rPr>
      </w:pPr>
    </w:p>
    <w:p w14:paraId="744DEAFB" w14:textId="48068BEC" w:rsidR="00755679" w:rsidRPr="00E43E9D" w:rsidRDefault="00E660F7" w:rsidP="002D0C02">
      <w:pPr>
        <w:rPr>
          <w:rFonts w:cs="Arial"/>
          <w:sz w:val="22"/>
          <w:szCs w:val="22"/>
        </w:rPr>
      </w:pPr>
      <w:r>
        <w:rPr>
          <w:rFonts w:cs="Arial"/>
          <w:sz w:val="22"/>
          <w:szCs w:val="22"/>
        </w:rPr>
        <w:t xml:space="preserve">This report provide members of </w:t>
      </w:r>
      <w:r w:rsidR="00C662BB">
        <w:rPr>
          <w:rFonts w:cs="Arial"/>
          <w:sz w:val="22"/>
          <w:szCs w:val="22"/>
        </w:rPr>
        <w:t xml:space="preserve">the LGA </w:t>
      </w:r>
      <w:r w:rsidR="006F37C7">
        <w:rPr>
          <w:rFonts w:cs="Arial"/>
          <w:sz w:val="22"/>
          <w:szCs w:val="22"/>
        </w:rPr>
        <w:t>Executive</w:t>
      </w:r>
      <w:r w:rsidR="00755679" w:rsidRPr="00E43E9D">
        <w:rPr>
          <w:rFonts w:cs="Arial"/>
          <w:sz w:val="22"/>
          <w:szCs w:val="22"/>
        </w:rPr>
        <w:t xml:space="preserve"> with a summary of the findings from our annual perceptions survey of our membership.</w:t>
      </w:r>
    </w:p>
    <w:p w14:paraId="744DEAFC" w14:textId="77777777" w:rsidR="00755679" w:rsidRDefault="00755679" w:rsidP="002D0C02">
      <w:pPr>
        <w:rPr>
          <w:rFonts w:cs="Arial"/>
          <w:sz w:val="22"/>
          <w:szCs w:val="22"/>
        </w:rPr>
      </w:pPr>
    </w:p>
    <w:p w14:paraId="744DEAFD" w14:textId="088BC190" w:rsidR="00755679" w:rsidRPr="00E43E9D" w:rsidRDefault="00E43E9D" w:rsidP="002D0C02">
      <w:pPr>
        <w:rPr>
          <w:rFonts w:cs="Arial"/>
          <w:sz w:val="22"/>
          <w:szCs w:val="22"/>
        </w:rPr>
      </w:pPr>
      <w:r w:rsidRPr="00C662BB">
        <w:rPr>
          <w:rFonts w:cs="Arial"/>
          <w:sz w:val="22"/>
          <w:szCs w:val="22"/>
        </w:rPr>
        <w:t xml:space="preserve">A full detailed report </w:t>
      </w:r>
      <w:r w:rsidR="00C662BB" w:rsidRPr="00C662BB">
        <w:rPr>
          <w:rFonts w:cs="Arial"/>
          <w:sz w:val="22"/>
          <w:szCs w:val="22"/>
        </w:rPr>
        <w:t xml:space="preserve">will be available </w:t>
      </w:r>
      <w:hyperlink r:id="rId11" w:history="1">
        <w:r w:rsidR="00C662BB">
          <w:rPr>
            <w:rStyle w:val="Hyperlink"/>
            <w:rFonts w:cs="Arial"/>
            <w:sz w:val="22"/>
            <w:szCs w:val="22"/>
          </w:rPr>
          <w:t>here</w:t>
        </w:r>
      </w:hyperlink>
      <w:r w:rsidR="00C662BB">
        <w:rPr>
          <w:rFonts w:cs="Arial"/>
          <w:sz w:val="22"/>
          <w:szCs w:val="22"/>
        </w:rPr>
        <w:t xml:space="preserve"> </w:t>
      </w:r>
      <w:r w:rsidR="00C662BB" w:rsidRPr="00C662BB">
        <w:rPr>
          <w:rFonts w:cs="Arial"/>
          <w:sz w:val="22"/>
          <w:szCs w:val="22"/>
        </w:rPr>
        <w:t xml:space="preserve">shortly. </w:t>
      </w:r>
    </w:p>
    <w:p w14:paraId="744DEAFE" w14:textId="77777777" w:rsidR="002D0C02" w:rsidRPr="00B61D2E" w:rsidRDefault="002D0C02" w:rsidP="002D0C02">
      <w:pPr>
        <w:jc w:val="center"/>
        <w:rPr>
          <w:rFonts w:cs="Arial"/>
          <w:b/>
          <w:sz w:val="22"/>
          <w:szCs w:val="22"/>
          <w:u w:val="single"/>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2D0C02" w:rsidRPr="00B61D2E" w14:paraId="744DEB0B" w14:textId="77777777" w:rsidTr="007527A8">
        <w:tc>
          <w:tcPr>
            <w:tcW w:w="9157" w:type="dxa"/>
          </w:tcPr>
          <w:p w14:paraId="744DEAFF" w14:textId="77777777" w:rsidR="002D0C02" w:rsidRPr="00B61D2E" w:rsidRDefault="002D0C02" w:rsidP="00D43C98">
            <w:pPr>
              <w:rPr>
                <w:rFonts w:cs="Arial"/>
                <w:sz w:val="22"/>
                <w:szCs w:val="22"/>
              </w:rPr>
            </w:pPr>
          </w:p>
          <w:p w14:paraId="744DEB00" w14:textId="6D8060A6" w:rsidR="002D0C02" w:rsidRDefault="002D0C02" w:rsidP="00D43C98">
            <w:pPr>
              <w:rPr>
                <w:rFonts w:cs="Arial"/>
                <w:b/>
                <w:sz w:val="22"/>
                <w:szCs w:val="22"/>
              </w:rPr>
            </w:pPr>
            <w:r w:rsidRPr="00B61D2E">
              <w:rPr>
                <w:rFonts w:cs="Arial"/>
                <w:b/>
                <w:sz w:val="22"/>
                <w:szCs w:val="22"/>
              </w:rPr>
              <w:t>Recommendation</w:t>
            </w:r>
            <w:r w:rsidR="00C662BB">
              <w:rPr>
                <w:rFonts w:cs="Arial"/>
                <w:b/>
                <w:sz w:val="22"/>
                <w:szCs w:val="22"/>
              </w:rPr>
              <w:t xml:space="preserve">s </w:t>
            </w:r>
          </w:p>
          <w:p w14:paraId="744DEB01" w14:textId="77777777" w:rsidR="0060524C" w:rsidRDefault="0060524C" w:rsidP="00D43C98">
            <w:pPr>
              <w:rPr>
                <w:rFonts w:cs="Arial"/>
                <w:b/>
                <w:sz w:val="22"/>
                <w:szCs w:val="22"/>
              </w:rPr>
            </w:pPr>
          </w:p>
          <w:p w14:paraId="744DEB02" w14:textId="2D15D859" w:rsidR="0060524C" w:rsidRPr="0060524C" w:rsidRDefault="006F37C7" w:rsidP="00D43C98">
            <w:pPr>
              <w:rPr>
                <w:rFonts w:cs="Arial"/>
                <w:sz w:val="22"/>
                <w:szCs w:val="22"/>
              </w:rPr>
            </w:pPr>
            <w:r>
              <w:rPr>
                <w:rFonts w:cs="Arial"/>
                <w:sz w:val="22"/>
                <w:szCs w:val="22"/>
              </w:rPr>
              <w:t>That the LGA Executive</w:t>
            </w:r>
            <w:r w:rsidR="00C662BB">
              <w:rPr>
                <w:rFonts w:cs="Arial"/>
                <w:sz w:val="22"/>
                <w:szCs w:val="22"/>
              </w:rPr>
              <w:t xml:space="preserve">: </w:t>
            </w:r>
          </w:p>
          <w:p w14:paraId="744DEB03" w14:textId="77777777" w:rsidR="0060524C" w:rsidRDefault="0060524C" w:rsidP="00624C2B">
            <w:pPr>
              <w:rPr>
                <w:rFonts w:cs="Arial"/>
                <w:sz w:val="22"/>
                <w:szCs w:val="22"/>
              </w:rPr>
            </w:pPr>
          </w:p>
          <w:p w14:paraId="744DEB04" w14:textId="69D83A4B" w:rsidR="0060524C" w:rsidRPr="006F37C7" w:rsidRDefault="00C03731" w:rsidP="006F37C7">
            <w:pPr>
              <w:pStyle w:val="ListParagraph"/>
              <w:numPr>
                <w:ilvl w:val="0"/>
                <w:numId w:val="7"/>
              </w:numPr>
              <w:rPr>
                <w:rFonts w:cs="Arial"/>
                <w:sz w:val="22"/>
              </w:rPr>
            </w:pPr>
            <w:r w:rsidRPr="006F37C7">
              <w:rPr>
                <w:rFonts w:cs="Arial"/>
                <w:sz w:val="22"/>
              </w:rPr>
              <w:t>note</w:t>
            </w:r>
            <w:r w:rsidR="0060524C" w:rsidRPr="006F37C7">
              <w:rPr>
                <w:rFonts w:cs="Arial"/>
                <w:sz w:val="22"/>
              </w:rPr>
              <w:t>s</w:t>
            </w:r>
            <w:r w:rsidRPr="006F37C7">
              <w:rPr>
                <w:rFonts w:cs="Arial"/>
                <w:sz w:val="22"/>
              </w:rPr>
              <w:t xml:space="preserve"> the results of the 20</w:t>
            </w:r>
            <w:r w:rsidR="00D47A8B" w:rsidRPr="006F37C7">
              <w:rPr>
                <w:rFonts w:cs="Arial"/>
                <w:sz w:val="22"/>
              </w:rPr>
              <w:t>15</w:t>
            </w:r>
            <w:r w:rsidR="00755679" w:rsidRPr="006F37C7">
              <w:rPr>
                <w:rFonts w:cs="Arial"/>
                <w:sz w:val="22"/>
              </w:rPr>
              <w:t>/2016</w:t>
            </w:r>
            <w:r w:rsidR="00221FA5" w:rsidRPr="006F37C7">
              <w:rPr>
                <w:rFonts w:cs="Arial"/>
                <w:sz w:val="22"/>
              </w:rPr>
              <w:t xml:space="preserve"> perceptions survey</w:t>
            </w:r>
            <w:r w:rsidR="0060524C" w:rsidRPr="006F37C7">
              <w:rPr>
                <w:rFonts w:cs="Arial"/>
                <w:sz w:val="22"/>
              </w:rPr>
              <w:t>; and</w:t>
            </w:r>
          </w:p>
          <w:p w14:paraId="744DEB05" w14:textId="7108BDCF" w:rsidR="00ED33F6" w:rsidRPr="0060524C" w:rsidRDefault="008E7BE3" w:rsidP="0060524C">
            <w:pPr>
              <w:pStyle w:val="ListParagraph"/>
              <w:numPr>
                <w:ilvl w:val="0"/>
                <w:numId w:val="7"/>
              </w:numPr>
              <w:rPr>
                <w:rFonts w:cs="Arial"/>
                <w:sz w:val="22"/>
              </w:rPr>
            </w:pPr>
            <w:r>
              <w:rPr>
                <w:sz w:val="22"/>
              </w:rPr>
              <w:t>agree</w:t>
            </w:r>
            <w:r w:rsidR="00C662BB">
              <w:rPr>
                <w:sz w:val="22"/>
              </w:rPr>
              <w:t>s</w:t>
            </w:r>
            <w:r>
              <w:rPr>
                <w:sz w:val="22"/>
              </w:rPr>
              <w:t xml:space="preserve"> to continue </w:t>
            </w:r>
            <w:r w:rsidR="00753A9D" w:rsidRPr="0060524C">
              <w:rPr>
                <w:sz w:val="22"/>
              </w:rPr>
              <w:t>with an annual perceptions survey of councils</w:t>
            </w:r>
            <w:r w:rsidR="00753A9D">
              <w:t>.</w:t>
            </w:r>
          </w:p>
          <w:p w14:paraId="744DEB06" w14:textId="77777777" w:rsidR="00580EDF" w:rsidRPr="00580EDF" w:rsidRDefault="00580EDF">
            <w:pPr>
              <w:rPr>
                <w:rFonts w:cs="Arial"/>
                <w:b/>
                <w:sz w:val="22"/>
                <w:szCs w:val="22"/>
              </w:rPr>
            </w:pPr>
            <w:r w:rsidRPr="00580EDF">
              <w:rPr>
                <w:rFonts w:cs="Arial"/>
                <w:b/>
                <w:sz w:val="22"/>
                <w:szCs w:val="22"/>
              </w:rPr>
              <w:t xml:space="preserve">Action </w:t>
            </w:r>
          </w:p>
          <w:p w14:paraId="744DEB07" w14:textId="77777777" w:rsidR="00580EDF" w:rsidRDefault="00580EDF">
            <w:pPr>
              <w:rPr>
                <w:rFonts w:cs="Arial"/>
                <w:sz w:val="22"/>
                <w:szCs w:val="22"/>
              </w:rPr>
            </w:pPr>
          </w:p>
          <w:p w14:paraId="744DEB08" w14:textId="77777777" w:rsidR="0060524C" w:rsidRDefault="0060524C">
            <w:pPr>
              <w:rPr>
                <w:rFonts w:cs="Arial"/>
                <w:sz w:val="22"/>
                <w:szCs w:val="22"/>
              </w:rPr>
            </w:pPr>
            <w:r>
              <w:rPr>
                <w:rFonts w:cs="Arial"/>
                <w:sz w:val="22"/>
                <w:szCs w:val="22"/>
              </w:rPr>
              <w:t xml:space="preserve">As directed by Members. </w:t>
            </w:r>
          </w:p>
          <w:p w14:paraId="744DEB0A" w14:textId="77777777" w:rsidR="00580EDF" w:rsidRPr="00B61D2E" w:rsidRDefault="00580EDF">
            <w:pPr>
              <w:rPr>
                <w:rFonts w:cs="Arial"/>
                <w:sz w:val="22"/>
                <w:szCs w:val="22"/>
              </w:rPr>
            </w:pPr>
          </w:p>
        </w:tc>
      </w:tr>
    </w:tbl>
    <w:p w14:paraId="744DEB0C" w14:textId="77777777" w:rsidR="002D0C02" w:rsidRDefault="002D0C02" w:rsidP="002D0C02">
      <w:pPr>
        <w:rPr>
          <w:rFonts w:cs="Arial"/>
          <w:sz w:val="22"/>
          <w:szCs w:val="22"/>
        </w:rPr>
      </w:pPr>
    </w:p>
    <w:p w14:paraId="744DEB0D" w14:textId="77777777" w:rsidR="0060524C" w:rsidRPr="00B61D2E" w:rsidRDefault="0060524C" w:rsidP="002D0C02">
      <w:pPr>
        <w:rPr>
          <w:rFonts w:cs="Arial"/>
          <w:sz w:val="22"/>
          <w:szCs w:val="22"/>
        </w:rPr>
      </w:pPr>
    </w:p>
    <w:tbl>
      <w:tblPr>
        <w:tblW w:w="0" w:type="auto"/>
        <w:tblLook w:val="01E0" w:firstRow="1" w:lastRow="1" w:firstColumn="1" w:lastColumn="1" w:noHBand="0" w:noVBand="0"/>
      </w:tblPr>
      <w:tblGrid>
        <w:gridCol w:w="2502"/>
        <w:gridCol w:w="5810"/>
      </w:tblGrid>
      <w:tr w:rsidR="002D0C02" w:rsidRPr="00B61D2E" w14:paraId="744DEB10" w14:textId="77777777" w:rsidTr="00ED33F6">
        <w:tc>
          <w:tcPr>
            <w:tcW w:w="2575" w:type="dxa"/>
          </w:tcPr>
          <w:p w14:paraId="744DEB0E" w14:textId="77777777" w:rsidR="002D0C02" w:rsidRPr="00B61D2E" w:rsidRDefault="002D0C02" w:rsidP="00D43C98">
            <w:pPr>
              <w:spacing w:before="60" w:after="60"/>
              <w:rPr>
                <w:rFonts w:cs="Arial"/>
                <w:b/>
                <w:sz w:val="22"/>
                <w:szCs w:val="22"/>
              </w:rPr>
            </w:pPr>
            <w:r w:rsidRPr="00B61D2E">
              <w:rPr>
                <w:rFonts w:cs="Arial"/>
                <w:b/>
                <w:sz w:val="22"/>
                <w:szCs w:val="22"/>
              </w:rPr>
              <w:t xml:space="preserve">Contact officer:  </w:t>
            </w:r>
          </w:p>
        </w:tc>
        <w:tc>
          <w:tcPr>
            <w:tcW w:w="5953" w:type="dxa"/>
          </w:tcPr>
          <w:p w14:paraId="744DEB0F" w14:textId="77777777" w:rsidR="002D0C02" w:rsidRPr="00B61D2E" w:rsidRDefault="002D0C02" w:rsidP="00D43C98">
            <w:pPr>
              <w:spacing w:before="60" w:after="60"/>
              <w:rPr>
                <w:rFonts w:cs="Arial"/>
                <w:sz w:val="22"/>
                <w:szCs w:val="22"/>
              </w:rPr>
            </w:pPr>
            <w:r w:rsidRPr="00B61D2E">
              <w:rPr>
                <w:rFonts w:cs="Arial"/>
                <w:sz w:val="22"/>
                <w:szCs w:val="22"/>
              </w:rPr>
              <w:t>David Holdstock</w:t>
            </w:r>
          </w:p>
        </w:tc>
      </w:tr>
      <w:tr w:rsidR="002D0C02" w:rsidRPr="00B61D2E" w14:paraId="744DEB13" w14:textId="77777777" w:rsidTr="00ED33F6">
        <w:tc>
          <w:tcPr>
            <w:tcW w:w="2575" w:type="dxa"/>
          </w:tcPr>
          <w:p w14:paraId="744DEB11" w14:textId="77777777" w:rsidR="002D0C02" w:rsidRPr="00B61D2E" w:rsidRDefault="002D0C02" w:rsidP="00D43C98">
            <w:pPr>
              <w:spacing w:before="60" w:after="60"/>
              <w:rPr>
                <w:rFonts w:cs="Arial"/>
                <w:b/>
                <w:sz w:val="22"/>
                <w:szCs w:val="22"/>
              </w:rPr>
            </w:pPr>
            <w:r w:rsidRPr="00B61D2E">
              <w:rPr>
                <w:rFonts w:cs="Arial"/>
                <w:b/>
                <w:sz w:val="22"/>
                <w:szCs w:val="22"/>
              </w:rPr>
              <w:t>Position:</w:t>
            </w:r>
          </w:p>
        </w:tc>
        <w:tc>
          <w:tcPr>
            <w:tcW w:w="5953" w:type="dxa"/>
          </w:tcPr>
          <w:p w14:paraId="744DEB12" w14:textId="77777777" w:rsidR="002D0C02" w:rsidRPr="00B61D2E" w:rsidRDefault="002D0C02" w:rsidP="00D43C98">
            <w:pPr>
              <w:spacing w:before="60" w:after="60"/>
              <w:rPr>
                <w:rFonts w:cs="Arial"/>
                <w:sz w:val="22"/>
                <w:szCs w:val="22"/>
              </w:rPr>
            </w:pPr>
            <w:r w:rsidRPr="00B61D2E">
              <w:rPr>
                <w:rFonts w:cs="Arial"/>
                <w:sz w:val="22"/>
                <w:szCs w:val="22"/>
              </w:rPr>
              <w:t>Director of Communications</w:t>
            </w:r>
          </w:p>
        </w:tc>
      </w:tr>
      <w:tr w:rsidR="002D0C02" w:rsidRPr="00B61D2E" w14:paraId="744DEB16" w14:textId="77777777" w:rsidTr="00ED33F6">
        <w:tc>
          <w:tcPr>
            <w:tcW w:w="2575" w:type="dxa"/>
          </w:tcPr>
          <w:p w14:paraId="744DEB14" w14:textId="77777777" w:rsidR="002D0C02" w:rsidRPr="00B61D2E" w:rsidRDefault="002D0C02" w:rsidP="00D43C98">
            <w:pPr>
              <w:spacing w:before="60" w:after="60"/>
              <w:rPr>
                <w:rFonts w:cs="Arial"/>
                <w:b/>
                <w:sz w:val="22"/>
                <w:szCs w:val="22"/>
              </w:rPr>
            </w:pPr>
            <w:r w:rsidRPr="00B61D2E">
              <w:rPr>
                <w:rFonts w:cs="Arial"/>
                <w:b/>
                <w:sz w:val="22"/>
                <w:szCs w:val="22"/>
              </w:rPr>
              <w:t>Phone no:</w:t>
            </w:r>
          </w:p>
        </w:tc>
        <w:tc>
          <w:tcPr>
            <w:tcW w:w="5953" w:type="dxa"/>
          </w:tcPr>
          <w:p w14:paraId="744DEB15" w14:textId="77777777" w:rsidR="002D0C02" w:rsidRPr="00B61D2E" w:rsidRDefault="002D0C02" w:rsidP="00D43C98">
            <w:pPr>
              <w:spacing w:before="60" w:after="60"/>
              <w:rPr>
                <w:rFonts w:cs="Arial"/>
                <w:sz w:val="22"/>
                <w:szCs w:val="22"/>
              </w:rPr>
            </w:pPr>
            <w:r w:rsidRPr="00B61D2E">
              <w:rPr>
                <w:rFonts w:cs="Arial"/>
                <w:sz w:val="22"/>
                <w:szCs w:val="22"/>
              </w:rPr>
              <w:t>020 7664 3056</w:t>
            </w:r>
          </w:p>
        </w:tc>
      </w:tr>
      <w:tr w:rsidR="002D0C02" w:rsidRPr="00B61D2E" w14:paraId="744DEB19" w14:textId="77777777" w:rsidTr="00ED33F6">
        <w:tc>
          <w:tcPr>
            <w:tcW w:w="2575" w:type="dxa"/>
          </w:tcPr>
          <w:p w14:paraId="744DEB17" w14:textId="77777777" w:rsidR="002D0C02" w:rsidRPr="00B61D2E" w:rsidRDefault="002D0C02" w:rsidP="00D43C98">
            <w:pPr>
              <w:spacing w:before="60" w:after="60"/>
              <w:rPr>
                <w:rFonts w:cs="Arial"/>
                <w:b/>
                <w:sz w:val="22"/>
                <w:szCs w:val="22"/>
              </w:rPr>
            </w:pPr>
            <w:r w:rsidRPr="00B61D2E">
              <w:rPr>
                <w:rFonts w:cs="Arial"/>
                <w:b/>
                <w:sz w:val="22"/>
                <w:szCs w:val="22"/>
              </w:rPr>
              <w:t>E-mail:</w:t>
            </w:r>
          </w:p>
        </w:tc>
        <w:tc>
          <w:tcPr>
            <w:tcW w:w="5953" w:type="dxa"/>
          </w:tcPr>
          <w:p w14:paraId="744DEB18" w14:textId="77777777" w:rsidR="002D0C02" w:rsidRPr="00B61D2E" w:rsidRDefault="006F37C7" w:rsidP="00D43C98">
            <w:pPr>
              <w:spacing w:before="60" w:after="60"/>
              <w:rPr>
                <w:rFonts w:cs="Arial"/>
                <w:sz w:val="22"/>
                <w:szCs w:val="22"/>
              </w:rPr>
            </w:pPr>
            <w:hyperlink r:id="rId12" w:history="1">
              <w:r w:rsidR="00580EDF" w:rsidRPr="00BA5977">
                <w:rPr>
                  <w:rStyle w:val="Hyperlink"/>
                  <w:rFonts w:cs="Arial"/>
                  <w:sz w:val="22"/>
                  <w:szCs w:val="22"/>
                </w:rPr>
                <w:t>David.Holdstock@local.gov.uk</w:t>
              </w:r>
            </w:hyperlink>
            <w:r w:rsidR="00580EDF">
              <w:rPr>
                <w:rFonts w:cs="Arial"/>
                <w:sz w:val="22"/>
                <w:szCs w:val="22"/>
              </w:rPr>
              <w:t xml:space="preserve"> </w:t>
            </w:r>
          </w:p>
        </w:tc>
      </w:tr>
    </w:tbl>
    <w:p w14:paraId="744DEB1A" w14:textId="77777777" w:rsidR="00580EDF" w:rsidRDefault="00580EDF" w:rsidP="002D0C02">
      <w:pPr>
        <w:jc w:val="center"/>
        <w:rPr>
          <w:rFonts w:cs="Arial"/>
          <w:b/>
          <w:sz w:val="22"/>
          <w:szCs w:val="22"/>
          <w:u w:val="single"/>
        </w:rPr>
      </w:pPr>
    </w:p>
    <w:p w14:paraId="744DEB1B" w14:textId="77777777" w:rsidR="00580EDF" w:rsidRDefault="00580EDF">
      <w:pPr>
        <w:rPr>
          <w:rFonts w:cs="Arial"/>
          <w:b/>
          <w:sz w:val="22"/>
          <w:szCs w:val="22"/>
          <w:u w:val="single"/>
        </w:rPr>
      </w:pPr>
      <w:r>
        <w:rPr>
          <w:rFonts w:cs="Arial"/>
          <w:b/>
          <w:sz w:val="22"/>
          <w:szCs w:val="22"/>
          <w:u w:val="single"/>
        </w:rPr>
        <w:br w:type="page"/>
      </w:r>
    </w:p>
    <w:p w14:paraId="744DEB1D" w14:textId="77777777" w:rsidR="0060524C" w:rsidRPr="0060524C" w:rsidRDefault="0060524C" w:rsidP="0060524C">
      <w:pPr>
        <w:spacing w:before="240" w:after="240"/>
        <w:rPr>
          <w:rFonts w:cs="Arial"/>
          <w:b/>
          <w:sz w:val="28"/>
          <w:szCs w:val="28"/>
        </w:rPr>
      </w:pPr>
      <w:r>
        <w:rPr>
          <w:rFonts w:cs="Arial"/>
          <w:b/>
          <w:sz w:val="28"/>
          <w:szCs w:val="28"/>
        </w:rPr>
        <w:lastRenderedPageBreak/>
        <w:t>LGA Perceptions S</w:t>
      </w:r>
      <w:r w:rsidRPr="00580EDF">
        <w:rPr>
          <w:rFonts w:cs="Arial"/>
          <w:b/>
          <w:sz w:val="28"/>
          <w:szCs w:val="28"/>
        </w:rPr>
        <w:t>urvey 2015/2016</w:t>
      </w:r>
    </w:p>
    <w:p w14:paraId="744DEB1E" w14:textId="77777777" w:rsidR="0060524C" w:rsidRDefault="0060524C" w:rsidP="00E5388C">
      <w:pPr>
        <w:rPr>
          <w:rFonts w:cs="Arial"/>
          <w:b/>
          <w:sz w:val="22"/>
          <w:szCs w:val="22"/>
          <w:u w:val="single"/>
        </w:rPr>
      </w:pPr>
    </w:p>
    <w:p w14:paraId="744DEB1F" w14:textId="77777777" w:rsidR="00AD031E" w:rsidRDefault="00AD031E" w:rsidP="00AC4DD5">
      <w:pPr>
        <w:rPr>
          <w:b/>
          <w:sz w:val="22"/>
          <w:szCs w:val="22"/>
        </w:rPr>
      </w:pPr>
      <w:r w:rsidRPr="00B61D2E">
        <w:rPr>
          <w:b/>
          <w:sz w:val="22"/>
          <w:szCs w:val="22"/>
        </w:rPr>
        <w:t>Introduction</w:t>
      </w:r>
    </w:p>
    <w:p w14:paraId="744DEB20" w14:textId="77777777" w:rsidR="0060524C" w:rsidRPr="00B61D2E" w:rsidRDefault="0060524C" w:rsidP="00AC4DD5">
      <w:pPr>
        <w:rPr>
          <w:b/>
          <w:sz w:val="22"/>
          <w:szCs w:val="22"/>
        </w:rPr>
      </w:pPr>
    </w:p>
    <w:p w14:paraId="744DEB21" w14:textId="77777777" w:rsidR="00AA14AE" w:rsidRPr="0060524C" w:rsidRDefault="00AD031E" w:rsidP="00AC4DD5">
      <w:pPr>
        <w:pStyle w:val="ListParagraph"/>
        <w:numPr>
          <w:ilvl w:val="0"/>
          <w:numId w:val="8"/>
        </w:numPr>
        <w:spacing w:before="0" w:after="0" w:line="240" w:lineRule="auto"/>
        <w:ind w:left="357"/>
        <w:rPr>
          <w:sz w:val="22"/>
        </w:rPr>
      </w:pPr>
      <w:r w:rsidRPr="0060524C">
        <w:rPr>
          <w:sz w:val="22"/>
        </w:rPr>
        <w:t xml:space="preserve">This is the </w:t>
      </w:r>
      <w:r w:rsidR="00C03731" w:rsidRPr="0060524C">
        <w:rPr>
          <w:sz w:val="22"/>
        </w:rPr>
        <w:t xml:space="preserve">fourth </w:t>
      </w:r>
      <w:r w:rsidR="006C0CCE" w:rsidRPr="0060524C">
        <w:rPr>
          <w:sz w:val="22"/>
        </w:rPr>
        <w:t xml:space="preserve">consecutive </w:t>
      </w:r>
      <w:r w:rsidRPr="0060524C">
        <w:rPr>
          <w:sz w:val="22"/>
        </w:rPr>
        <w:t>year we have undertaken a perceptions survey of our membership.  This comprehensive, cross-cutting research provides us with a benchmark to inform future work and give</w:t>
      </w:r>
      <w:r w:rsidR="00A131C4" w:rsidRPr="0060524C">
        <w:rPr>
          <w:sz w:val="22"/>
        </w:rPr>
        <w:t>s</w:t>
      </w:r>
      <w:r w:rsidRPr="0060524C">
        <w:rPr>
          <w:sz w:val="22"/>
        </w:rPr>
        <w:t xml:space="preserve"> us a good understanding of the current views of member authorities.  In addition, it helps us to better understand their views on the benefits of membership, their priorities, sector-led improvement, how well informed they feel about </w:t>
      </w:r>
      <w:r w:rsidR="0092177E" w:rsidRPr="0060524C">
        <w:rPr>
          <w:sz w:val="22"/>
        </w:rPr>
        <w:t xml:space="preserve">our </w:t>
      </w:r>
      <w:r w:rsidRPr="0060524C">
        <w:rPr>
          <w:sz w:val="22"/>
        </w:rPr>
        <w:t>work and areas for improvement</w:t>
      </w:r>
      <w:r w:rsidR="00AA14AE" w:rsidRPr="0060524C">
        <w:rPr>
          <w:sz w:val="22"/>
        </w:rPr>
        <w:t>.</w:t>
      </w:r>
    </w:p>
    <w:p w14:paraId="744DEB22" w14:textId="77777777" w:rsidR="00AA14AE" w:rsidRDefault="00AA14AE" w:rsidP="00AC4DD5">
      <w:pPr>
        <w:pStyle w:val="ListParagraph"/>
        <w:numPr>
          <w:ilvl w:val="0"/>
          <w:numId w:val="0"/>
        </w:numPr>
        <w:spacing w:before="0" w:after="0" w:line="240" w:lineRule="auto"/>
        <w:ind w:left="357"/>
        <w:rPr>
          <w:sz w:val="22"/>
        </w:rPr>
      </w:pPr>
    </w:p>
    <w:p w14:paraId="744DEB23" w14:textId="77777777" w:rsidR="000E30F4" w:rsidRDefault="00AA14AE" w:rsidP="00AC4DD5">
      <w:pPr>
        <w:pStyle w:val="ListParagraph"/>
        <w:numPr>
          <w:ilvl w:val="0"/>
          <w:numId w:val="8"/>
        </w:numPr>
        <w:spacing w:before="0" w:after="0" w:line="240" w:lineRule="auto"/>
        <w:ind w:left="357"/>
        <w:rPr>
          <w:sz w:val="22"/>
        </w:rPr>
      </w:pPr>
      <w:r w:rsidRPr="00755679">
        <w:rPr>
          <w:sz w:val="22"/>
        </w:rPr>
        <w:t xml:space="preserve">Following last year’s report to </w:t>
      </w:r>
      <w:r w:rsidR="00755679" w:rsidRPr="00E43E9D">
        <w:rPr>
          <w:sz w:val="22"/>
        </w:rPr>
        <w:t>L</w:t>
      </w:r>
      <w:r w:rsidRPr="00755679">
        <w:rPr>
          <w:sz w:val="22"/>
        </w:rPr>
        <w:t xml:space="preserve">eadership Board, a number of actions were put in place as part of an agreed action plan.  These included a </w:t>
      </w:r>
      <w:r w:rsidR="00755679" w:rsidRPr="00E43E9D">
        <w:rPr>
          <w:sz w:val="22"/>
        </w:rPr>
        <w:t xml:space="preserve">further </w:t>
      </w:r>
      <w:r w:rsidRPr="00755679">
        <w:rPr>
          <w:sz w:val="22"/>
        </w:rPr>
        <w:t>review of membership packs</w:t>
      </w:r>
      <w:r w:rsidR="000E30F4">
        <w:rPr>
          <w:sz w:val="22"/>
        </w:rPr>
        <w:t>, regular briefings for Principal Advisors for use during visits to councils</w:t>
      </w:r>
      <w:r w:rsidR="00755679">
        <w:rPr>
          <w:sz w:val="22"/>
        </w:rPr>
        <w:t xml:space="preserve"> and</w:t>
      </w:r>
      <w:r w:rsidRPr="00755679">
        <w:rPr>
          <w:sz w:val="22"/>
        </w:rPr>
        <w:t xml:space="preserve"> work to update the website and </w:t>
      </w:r>
      <w:r w:rsidR="00755679" w:rsidRPr="00E43E9D">
        <w:rPr>
          <w:sz w:val="22"/>
        </w:rPr>
        <w:t>e-b</w:t>
      </w:r>
      <w:r w:rsidRPr="00755679">
        <w:rPr>
          <w:sz w:val="22"/>
        </w:rPr>
        <w:t>ulletins</w:t>
      </w:r>
      <w:r w:rsidR="00755679">
        <w:rPr>
          <w:sz w:val="22"/>
        </w:rPr>
        <w:t xml:space="preserve">.  We have also </w:t>
      </w:r>
      <w:r w:rsidR="000E30F4">
        <w:rPr>
          <w:sz w:val="22"/>
        </w:rPr>
        <w:t xml:space="preserve">made improvements in our digital communications, to include more use of tools such as film and infographics and the use of ‘hubs’ such as our Devo Hub have been very popular.  In addition, </w:t>
      </w:r>
      <w:r w:rsidR="00755679">
        <w:rPr>
          <w:sz w:val="22"/>
        </w:rPr>
        <w:t xml:space="preserve">put in place more detailed monitoring of use of our website and other digital media channels to help us better understand our key audiences and target our communications activity.  </w:t>
      </w:r>
    </w:p>
    <w:p w14:paraId="744DEB24" w14:textId="77777777" w:rsidR="000E30F4" w:rsidRDefault="000E30F4" w:rsidP="00AC4DD5">
      <w:pPr>
        <w:pStyle w:val="ListParagraph"/>
        <w:numPr>
          <w:ilvl w:val="0"/>
          <w:numId w:val="0"/>
        </w:numPr>
        <w:spacing w:before="0" w:after="0" w:line="240" w:lineRule="auto"/>
        <w:ind w:left="357"/>
        <w:rPr>
          <w:sz w:val="22"/>
        </w:rPr>
      </w:pPr>
    </w:p>
    <w:p w14:paraId="744DEB25" w14:textId="77777777" w:rsidR="000E30F4" w:rsidRDefault="000E30F4" w:rsidP="00AC4DD5">
      <w:pPr>
        <w:pStyle w:val="ListParagraph"/>
        <w:numPr>
          <w:ilvl w:val="0"/>
          <w:numId w:val="8"/>
        </w:numPr>
        <w:spacing w:before="0" w:after="0" w:line="240" w:lineRule="auto"/>
        <w:ind w:left="357"/>
        <w:rPr>
          <w:sz w:val="22"/>
        </w:rPr>
      </w:pPr>
      <w:r>
        <w:rPr>
          <w:sz w:val="22"/>
        </w:rPr>
        <w:t>The Group Offices have continued to support our overall membership offer through their work with members and improvement teams have further developed our offer to include, as well as corporate support, bespoke support on issues such as finance, children’s services and communications.</w:t>
      </w:r>
    </w:p>
    <w:p w14:paraId="744DEB26" w14:textId="77777777" w:rsidR="000E30F4" w:rsidRDefault="000E30F4" w:rsidP="00AC4DD5">
      <w:pPr>
        <w:pStyle w:val="ListParagraph"/>
        <w:numPr>
          <w:ilvl w:val="0"/>
          <w:numId w:val="0"/>
        </w:numPr>
        <w:spacing w:before="0" w:after="0" w:line="240" w:lineRule="auto"/>
        <w:ind w:left="357"/>
        <w:rPr>
          <w:sz w:val="22"/>
        </w:rPr>
      </w:pPr>
    </w:p>
    <w:p w14:paraId="744DEB27" w14:textId="77777777" w:rsidR="000E30F4" w:rsidRDefault="000E30F4" w:rsidP="00AC4DD5">
      <w:pPr>
        <w:pStyle w:val="ListParagraph"/>
        <w:numPr>
          <w:ilvl w:val="0"/>
          <w:numId w:val="8"/>
        </w:numPr>
        <w:spacing w:before="0" w:after="0" w:line="240" w:lineRule="auto"/>
        <w:ind w:left="357"/>
        <w:rPr>
          <w:sz w:val="22"/>
        </w:rPr>
      </w:pPr>
      <w:r>
        <w:rPr>
          <w:sz w:val="22"/>
        </w:rPr>
        <w:t>Our programme of visits to councils, at both senior political and managerial levels has also supported our work around awareness raising of the work we undertake with and on behalf of councils.</w:t>
      </w:r>
    </w:p>
    <w:p w14:paraId="6A606400" w14:textId="77777777" w:rsidR="00AC4DD5" w:rsidRDefault="00AC4DD5" w:rsidP="00AC4DD5">
      <w:pPr>
        <w:rPr>
          <w:b/>
          <w:sz w:val="22"/>
          <w:szCs w:val="22"/>
        </w:rPr>
      </w:pPr>
    </w:p>
    <w:p w14:paraId="744DEB28" w14:textId="77777777" w:rsidR="00AD031E" w:rsidRDefault="00AD031E" w:rsidP="00AC4DD5">
      <w:pPr>
        <w:rPr>
          <w:b/>
          <w:sz w:val="22"/>
          <w:szCs w:val="22"/>
        </w:rPr>
      </w:pPr>
      <w:r w:rsidRPr="00B61D2E">
        <w:rPr>
          <w:b/>
          <w:sz w:val="22"/>
          <w:szCs w:val="22"/>
        </w:rPr>
        <w:t>Summary</w:t>
      </w:r>
    </w:p>
    <w:p w14:paraId="0EE949A4" w14:textId="77777777" w:rsidR="00AC4DD5" w:rsidRPr="00B61D2E" w:rsidRDefault="00AC4DD5" w:rsidP="00AC4DD5">
      <w:pPr>
        <w:rPr>
          <w:b/>
          <w:sz w:val="22"/>
          <w:szCs w:val="22"/>
        </w:rPr>
      </w:pPr>
    </w:p>
    <w:p w14:paraId="744DEB29" w14:textId="77777777" w:rsidR="00031A04" w:rsidRPr="0060524C" w:rsidRDefault="00AD031E" w:rsidP="00AC4DD5">
      <w:pPr>
        <w:pStyle w:val="ListParagraph"/>
        <w:numPr>
          <w:ilvl w:val="0"/>
          <w:numId w:val="8"/>
        </w:numPr>
        <w:spacing w:before="0" w:after="0" w:line="240" w:lineRule="auto"/>
        <w:ind w:left="357"/>
        <w:rPr>
          <w:sz w:val="22"/>
        </w:rPr>
      </w:pPr>
      <w:r w:rsidRPr="0060524C">
        <w:rPr>
          <w:sz w:val="22"/>
        </w:rPr>
        <w:t xml:space="preserve">Overall, the </w:t>
      </w:r>
      <w:r w:rsidR="00E5388C" w:rsidRPr="0060524C">
        <w:rPr>
          <w:sz w:val="22"/>
        </w:rPr>
        <w:t xml:space="preserve">results </w:t>
      </w:r>
      <w:r w:rsidR="0092177E" w:rsidRPr="0060524C">
        <w:rPr>
          <w:sz w:val="22"/>
        </w:rPr>
        <w:t xml:space="preserve">show that we have </w:t>
      </w:r>
      <w:r w:rsidR="00A55331" w:rsidRPr="0060524C">
        <w:rPr>
          <w:sz w:val="22"/>
        </w:rPr>
        <w:t>continued t</w:t>
      </w:r>
      <w:r w:rsidR="00E17D44" w:rsidRPr="0060524C">
        <w:rPr>
          <w:sz w:val="22"/>
        </w:rPr>
        <w:t xml:space="preserve">he trajectory of </w:t>
      </w:r>
      <w:r w:rsidR="0092177E" w:rsidRPr="0060524C">
        <w:rPr>
          <w:sz w:val="22"/>
        </w:rPr>
        <w:t xml:space="preserve">improvements made </w:t>
      </w:r>
      <w:r w:rsidR="00A55331" w:rsidRPr="0060524C">
        <w:rPr>
          <w:sz w:val="22"/>
        </w:rPr>
        <w:t>since 2012</w:t>
      </w:r>
      <w:r w:rsidR="00E17D44" w:rsidRPr="0060524C">
        <w:rPr>
          <w:sz w:val="22"/>
        </w:rPr>
        <w:t xml:space="preserve">.  </w:t>
      </w:r>
      <w:r w:rsidR="00CE2BD6" w:rsidRPr="0060524C">
        <w:rPr>
          <w:sz w:val="22"/>
        </w:rPr>
        <w:t>R</w:t>
      </w:r>
      <w:r w:rsidRPr="0060524C">
        <w:rPr>
          <w:sz w:val="22"/>
        </w:rPr>
        <w:t xml:space="preserve">espondents </w:t>
      </w:r>
      <w:r w:rsidR="00E17D44" w:rsidRPr="0060524C">
        <w:rPr>
          <w:sz w:val="22"/>
        </w:rPr>
        <w:t xml:space="preserve">remain </w:t>
      </w:r>
      <w:r w:rsidRPr="0060524C">
        <w:rPr>
          <w:sz w:val="22"/>
        </w:rPr>
        <w:t xml:space="preserve">satisfied with the work we undertake on their behalf, </w:t>
      </w:r>
      <w:r w:rsidR="007C4E80" w:rsidRPr="0060524C">
        <w:rPr>
          <w:sz w:val="22"/>
        </w:rPr>
        <w:t xml:space="preserve">believe we </w:t>
      </w:r>
      <w:r w:rsidRPr="0060524C">
        <w:rPr>
          <w:sz w:val="22"/>
        </w:rPr>
        <w:t xml:space="preserve">are influential in shaping the agenda for local government and </w:t>
      </w:r>
      <w:r w:rsidR="00031A04" w:rsidRPr="0060524C">
        <w:rPr>
          <w:sz w:val="22"/>
        </w:rPr>
        <w:t xml:space="preserve">feel </w:t>
      </w:r>
      <w:r w:rsidR="007C4E80" w:rsidRPr="0060524C">
        <w:rPr>
          <w:sz w:val="22"/>
        </w:rPr>
        <w:t xml:space="preserve">we </w:t>
      </w:r>
      <w:r w:rsidR="006A71DD" w:rsidRPr="0060524C">
        <w:rPr>
          <w:sz w:val="22"/>
        </w:rPr>
        <w:t>are</w:t>
      </w:r>
      <w:r w:rsidR="00CE2BD6" w:rsidRPr="0060524C">
        <w:rPr>
          <w:sz w:val="22"/>
        </w:rPr>
        <w:t xml:space="preserve"> </w:t>
      </w:r>
      <w:r w:rsidRPr="0060524C">
        <w:rPr>
          <w:sz w:val="22"/>
        </w:rPr>
        <w:t>effective at representing the views of our members</w:t>
      </w:r>
      <w:r w:rsidR="00031A04" w:rsidRPr="0060524C">
        <w:rPr>
          <w:sz w:val="22"/>
        </w:rPr>
        <w:t>.</w:t>
      </w:r>
    </w:p>
    <w:p w14:paraId="744DEB2A" w14:textId="77777777" w:rsidR="00031A04" w:rsidRPr="0060524C" w:rsidRDefault="00031A04" w:rsidP="00AC4DD5">
      <w:pPr>
        <w:pStyle w:val="ListParagraph"/>
        <w:numPr>
          <w:ilvl w:val="0"/>
          <w:numId w:val="0"/>
        </w:numPr>
        <w:spacing w:before="0" w:after="0" w:line="240" w:lineRule="auto"/>
        <w:ind w:left="357"/>
        <w:rPr>
          <w:sz w:val="22"/>
        </w:rPr>
      </w:pPr>
    </w:p>
    <w:p w14:paraId="744DEB2B" w14:textId="77777777" w:rsidR="000445A6" w:rsidRPr="0060524C" w:rsidRDefault="00AD031E" w:rsidP="00AC4DD5">
      <w:pPr>
        <w:pStyle w:val="ListParagraph"/>
        <w:numPr>
          <w:ilvl w:val="0"/>
          <w:numId w:val="8"/>
        </w:numPr>
        <w:spacing w:before="0" w:after="0" w:line="240" w:lineRule="auto"/>
        <w:ind w:left="357"/>
        <w:rPr>
          <w:sz w:val="22"/>
        </w:rPr>
      </w:pPr>
      <w:r w:rsidRPr="0060524C">
        <w:rPr>
          <w:sz w:val="22"/>
        </w:rPr>
        <w:t xml:space="preserve">They also agree that we address the issues that are important to councils and that we </w:t>
      </w:r>
      <w:r w:rsidR="000445A6" w:rsidRPr="0060524C">
        <w:rPr>
          <w:sz w:val="22"/>
        </w:rPr>
        <w:t xml:space="preserve">are </w:t>
      </w:r>
      <w:r w:rsidRPr="0060524C">
        <w:rPr>
          <w:sz w:val="22"/>
        </w:rPr>
        <w:t xml:space="preserve">an effective advocate for the interests of local government. </w:t>
      </w:r>
      <w:r w:rsidR="000445A6" w:rsidRPr="0060524C">
        <w:rPr>
          <w:sz w:val="22"/>
        </w:rPr>
        <w:t xml:space="preserve"> </w:t>
      </w:r>
    </w:p>
    <w:p w14:paraId="744DEB2C" w14:textId="77777777" w:rsidR="00A01EE1" w:rsidRPr="0060524C" w:rsidRDefault="00A01EE1" w:rsidP="00AC4DD5">
      <w:pPr>
        <w:pStyle w:val="ListParagraph"/>
        <w:numPr>
          <w:ilvl w:val="0"/>
          <w:numId w:val="0"/>
        </w:numPr>
        <w:spacing w:before="0" w:after="0" w:line="240" w:lineRule="auto"/>
        <w:ind w:left="357"/>
        <w:rPr>
          <w:sz w:val="22"/>
        </w:rPr>
      </w:pPr>
    </w:p>
    <w:p w14:paraId="744DEB2D" w14:textId="77777777" w:rsidR="00A01EE1" w:rsidRPr="0060524C" w:rsidRDefault="00031A04" w:rsidP="00AC4DD5">
      <w:pPr>
        <w:pStyle w:val="ListParagraph"/>
        <w:numPr>
          <w:ilvl w:val="0"/>
          <w:numId w:val="8"/>
        </w:numPr>
        <w:spacing w:before="0" w:after="0" w:line="240" w:lineRule="auto"/>
        <w:ind w:left="357"/>
        <w:rPr>
          <w:sz w:val="22"/>
        </w:rPr>
      </w:pPr>
      <w:r w:rsidRPr="0060524C">
        <w:rPr>
          <w:sz w:val="22"/>
        </w:rPr>
        <w:t>As in previous years, t</w:t>
      </w:r>
      <w:r w:rsidR="00090885" w:rsidRPr="0060524C">
        <w:rPr>
          <w:sz w:val="22"/>
        </w:rPr>
        <w:t>here are some variations</w:t>
      </w:r>
      <w:r w:rsidR="008B1735" w:rsidRPr="0060524C">
        <w:rPr>
          <w:sz w:val="22"/>
        </w:rPr>
        <w:t>, depending</w:t>
      </w:r>
      <w:r w:rsidR="00AD031E" w:rsidRPr="0060524C">
        <w:rPr>
          <w:sz w:val="22"/>
        </w:rPr>
        <w:t xml:space="preserve"> on specific job role</w:t>
      </w:r>
      <w:r w:rsidR="00DF5930" w:rsidRPr="0060524C">
        <w:rPr>
          <w:sz w:val="22"/>
        </w:rPr>
        <w:t>s</w:t>
      </w:r>
      <w:r w:rsidR="00D31D11" w:rsidRPr="0060524C">
        <w:rPr>
          <w:sz w:val="22"/>
        </w:rPr>
        <w:t xml:space="preserve">. </w:t>
      </w:r>
      <w:r w:rsidR="000445A6" w:rsidRPr="0060524C">
        <w:rPr>
          <w:sz w:val="22"/>
        </w:rPr>
        <w:t xml:space="preserve"> </w:t>
      </w:r>
      <w:r w:rsidR="00EC5ACD" w:rsidRPr="0060524C">
        <w:rPr>
          <w:sz w:val="22"/>
        </w:rPr>
        <w:t>C</w:t>
      </w:r>
      <w:r w:rsidR="000445A6" w:rsidRPr="0060524C">
        <w:rPr>
          <w:sz w:val="22"/>
        </w:rPr>
        <w:t xml:space="preserve">ouncil leaders and chief executives are more likely to </w:t>
      </w:r>
      <w:r w:rsidR="00EC5ACD" w:rsidRPr="0060524C">
        <w:rPr>
          <w:sz w:val="22"/>
        </w:rPr>
        <w:t>‘</w:t>
      </w:r>
      <w:r w:rsidR="000445A6" w:rsidRPr="0060524C">
        <w:rPr>
          <w:sz w:val="22"/>
        </w:rPr>
        <w:t>know</w:t>
      </w:r>
      <w:r w:rsidR="00EC5ACD" w:rsidRPr="0060524C">
        <w:rPr>
          <w:sz w:val="22"/>
        </w:rPr>
        <w:t xml:space="preserve"> a great deal’ about our work </w:t>
      </w:r>
      <w:r w:rsidR="00DF5930" w:rsidRPr="0060524C">
        <w:rPr>
          <w:sz w:val="22"/>
        </w:rPr>
        <w:t xml:space="preserve">and </w:t>
      </w:r>
      <w:r w:rsidR="008E7BE3">
        <w:rPr>
          <w:sz w:val="22"/>
        </w:rPr>
        <w:t>front-line</w:t>
      </w:r>
      <w:r w:rsidR="00090885" w:rsidRPr="0060524C">
        <w:rPr>
          <w:sz w:val="22"/>
        </w:rPr>
        <w:t xml:space="preserve"> </w:t>
      </w:r>
      <w:r w:rsidR="00AD031E" w:rsidRPr="0060524C">
        <w:rPr>
          <w:sz w:val="22"/>
        </w:rPr>
        <w:t>councillors</w:t>
      </w:r>
      <w:r w:rsidR="00B01FE9" w:rsidRPr="0060524C">
        <w:rPr>
          <w:sz w:val="22"/>
        </w:rPr>
        <w:t xml:space="preserve"> are more likely to have</w:t>
      </w:r>
      <w:r w:rsidR="00D31D11" w:rsidRPr="0060524C">
        <w:rPr>
          <w:sz w:val="22"/>
        </w:rPr>
        <w:t xml:space="preserve"> </w:t>
      </w:r>
      <w:r w:rsidRPr="0060524C">
        <w:rPr>
          <w:sz w:val="22"/>
        </w:rPr>
        <w:t>‘</w:t>
      </w:r>
      <w:r w:rsidR="00AD031E" w:rsidRPr="0060524C">
        <w:rPr>
          <w:sz w:val="22"/>
        </w:rPr>
        <w:t xml:space="preserve">the least </w:t>
      </w:r>
      <w:r w:rsidR="00D31D11" w:rsidRPr="0060524C">
        <w:rPr>
          <w:sz w:val="22"/>
        </w:rPr>
        <w:t>knowledge</w:t>
      </w:r>
      <w:r w:rsidR="00090885" w:rsidRPr="0060524C">
        <w:rPr>
          <w:sz w:val="22"/>
        </w:rPr>
        <w:t xml:space="preserve"> of the LGA</w:t>
      </w:r>
      <w:r w:rsidRPr="0060524C">
        <w:rPr>
          <w:sz w:val="22"/>
        </w:rPr>
        <w:t>’</w:t>
      </w:r>
      <w:r w:rsidR="008F3FDC" w:rsidRPr="0060524C">
        <w:rPr>
          <w:sz w:val="22"/>
        </w:rPr>
        <w:t>.</w:t>
      </w:r>
      <w:r w:rsidR="00AD031E" w:rsidRPr="0060524C">
        <w:rPr>
          <w:sz w:val="22"/>
        </w:rPr>
        <w:t xml:space="preserve">  </w:t>
      </w:r>
      <w:r w:rsidR="00DF5930" w:rsidRPr="0060524C">
        <w:rPr>
          <w:sz w:val="22"/>
        </w:rPr>
        <w:t xml:space="preserve"> This impacts directly on views about our effectiveness – the more informed, the more likely a respondent is to be satisfied with the work we undertake on behalf of local government</w:t>
      </w:r>
      <w:r w:rsidR="00AA14AE" w:rsidRPr="0060524C">
        <w:rPr>
          <w:sz w:val="22"/>
        </w:rPr>
        <w:t>.</w:t>
      </w:r>
    </w:p>
    <w:p w14:paraId="744DEB2E" w14:textId="77777777" w:rsidR="00F75557" w:rsidRDefault="00F75557" w:rsidP="00EF53F3">
      <w:pPr>
        <w:rPr>
          <w:sz w:val="22"/>
          <w:szCs w:val="22"/>
        </w:rPr>
      </w:pPr>
    </w:p>
    <w:p w14:paraId="744DEB2F" w14:textId="7A9EEBC5" w:rsidR="008B2A69" w:rsidRDefault="00F75557" w:rsidP="0060524C">
      <w:pPr>
        <w:pStyle w:val="ListParagraph"/>
        <w:numPr>
          <w:ilvl w:val="0"/>
          <w:numId w:val="8"/>
        </w:numPr>
        <w:spacing w:line="240" w:lineRule="auto"/>
        <w:ind w:left="357"/>
        <w:rPr>
          <w:sz w:val="22"/>
        </w:rPr>
      </w:pPr>
      <w:r>
        <w:rPr>
          <w:sz w:val="22"/>
        </w:rPr>
        <w:lastRenderedPageBreak/>
        <w:t>Of the services we provide those identified as most useful were our role in providing up-to-date information about local government, lobbying on behalf of local government, providing a single voice for local government a</w:t>
      </w:r>
      <w:r w:rsidR="007919A8">
        <w:rPr>
          <w:sz w:val="22"/>
        </w:rPr>
        <w:t>nd providing support for sector-</w:t>
      </w:r>
      <w:r>
        <w:rPr>
          <w:sz w:val="22"/>
        </w:rPr>
        <w:t xml:space="preserve">led improvement.  </w:t>
      </w:r>
    </w:p>
    <w:p w14:paraId="744DEB30" w14:textId="77777777" w:rsidR="0060524C" w:rsidRPr="0060524C" w:rsidRDefault="0060524C" w:rsidP="0060524C">
      <w:pPr>
        <w:pStyle w:val="ListParagraph"/>
        <w:numPr>
          <w:ilvl w:val="0"/>
          <w:numId w:val="0"/>
        </w:numPr>
        <w:spacing w:line="240" w:lineRule="auto"/>
        <w:ind w:left="357"/>
        <w:rPr>
          <w:sz w:val="22"/>
        </w:rPr>
      </w:pPr>
    </w:p>
    <w:p w14:paraId="744DEB31" w14:textId="77777777" w:rsidR="00994130" w:rsidRDefault="00DC7433" w:rsidP="0060524C">
      <w:pPr>
        <w:pStyle w:val="ListParagraph"/>
        <w:numPr>
          <w:ilvl w:val="0"/>
          <w:numId w:val="8"/>
        </w:numPr>
        <w:spacing w:line="240" w:lineRule="auto"/>
        <w:ind w:left="357"/>
        <w:rPr>
          <w:rFonts w:cs="Arial"/>
          <w:sz w:val="22"/>
        </w:rPr>
      </w:pPr>
      <w:r>
        <w:rPr>
          <w:rFonts w:cs="Arial"/>
          <w:sz w:val="22"/>
        </w:rPr>
        <w:t>B</w:t>
      </w:r>
      <w:r w:rsidR="009B00F0" w:rsidRPr="00A55331">
        <w:rPr>
          <w:rFonts w:cs="Arial"/>
          <w:sz w:val="22"/>
        </w:rPr>
        <w:t>oth councillors and officers continue to feel we keep them well informed.</w:t>
      </w:r>
      <w:r>
        <w:rPr>
          <w:rFonts w:cs="Arial"/>
          <w:sz w:val="22"/>
        </w:rPr>
        <w:t xml:space="preserve">  This year has seen a further increase in those who feel we keep them well informed (</w:t>
      </w:r>
      <w:r w:rsidRPr="00E43E9D">
        <w:rPr>
          <w:rFonts w:cs="Arial"/>
          <w:b/>
          <w:sz w:val="22"/>
        </w:rPr>
        <w:t>up from 79 per cent in 2014</w:t>
      </w:r>
      <w:r w:rsidR="00375926">
        <w:rPr>
          <w:rFonts w:cs="Arial"/>
          <w:b/>
          <w:sz w:val="22"/>
        </w:rPr>
        <w:t>/20</w:t>
      </w:r>
      <w:r>
        <w:rPr>
          <w:rFonts w:cs="Arial"/>
          <w:b/>
          <w:sz w:val="22"/>
        </w:rPr>
        <w:t>15</w:t>
      </w:r>
      <w:r>
        <w:rPr>
          <w:rFonts w:cs="Arial"/>
          <w:sz w:val="22"/>
        </w:rPr>
        <w:t xml:space="preserve"> </w:t>
      </w:r>
      <w:r w:rsidRPr="00E43E9D">
        <w:rPr>
          <w:rFonts w:cs="Arial"/>
          <w:b/>
          <w:sz w:val="22"/>
        </w:rPr>
        <w:t>to 83 per cent in 2015</w:t>
      </w:r>
      <w:r w:rsidR="00375926">
        <w:rPr>
          <w:rFonts w:cs="Arial"/>
          <w:b/>
          <w:sz w:val="22"/>
        </w:rPr>
        <w:t>/20</w:t>
      </w:r>
      <w:r w:rsidRPr="00E43E9D">
        <w:rPr>
          <w:rFonts w:cs="Arial"/>
          <w:b/>
          <w:sz w:val="22"/>
        </w:rPr>
        <w:t>1</w:t>
      </w:r>
      <w:r w:rsidR="00375926">
        <w:rPr>
          <w:rFonts w:cs="Arial"/>
          <w:b/>
          <w:sz w:val="22"/>
        </w:rPr>
        <w:t>6</w:t>
      </w:r>
      <w:r>
        <w:rPr>
          <w:rFonts w:cs="Arial"/>
          <w:b/>
          <w:sz w:val="22"/>
        </w:rPr>
        <w:t>)</w:t>
      </w:r>
      <w:r>
        <w:rPr>
          <w:rFonts w:cs="Arial"/>
          <w:sz w:val="22"/>
        </w:rPr>
        <w:t xml:space="preserve">.  As set out previously, </w:t>
      </w:r>
      <w:r w:rsidRPr="00DC7433">
        <w:rPr>
          <w:rFonts w:cs="Arial"/>
          <w:sz w:val="22"/>
        </w:rPr>
        <w:t xml:space="preserve">there are </w:t>
      </w:r>
      <w:r w:rsidR="00AD031E" w:rsidRPr="00DC7433">
        <w:rPr>
          <w:rFonts w:cs="Arial"/>
          <w:sz w:val="22"/>
        </w:rPr>
        <w:t>strong links between feeling informed and overall satisfaction</w:t>
      </w:r>
      <w:r w:rsidR="00375926">
        <w:rPr>
          <w:rFonts w:cs="Arial"/>
          <w:sz w:val="22"/>
        </w:rPr>
        <w:t>.</w:t>
      </w:r>
    </w:p>
    <w:p w14:paraId="744DEB32" w14:textId="77777777" w:rsidR="0060524C" w:rsidRDefault="0060524C" w:rsidP="0060524C">
      <w:pPr>
        <w:pStyle w:val="ListParagraph"/>
        <w:numPr>
          <w:ilvl w:val="0"/>
          <w:numId w:val="0"/>
        </w:numPr>
        <w:spacing w:line="240" w:lineRule="auto"/>
        <w:ind w:left="357"/>
        <w:rPr>
          <w:rFonts w:cs="Arial"/>
          <w:sz w:val="22"/>
        </w:rPr>
      </w:pPr>
    </w:p>
    <w:p w14:paraId="744DEB33" w14:textId="77777777" w:rsidR="00752F13" w:rsidRPr="00A55331" w:rsidRDefault="00AD031E" w:rsidP="0060524C">
      <w:pPr>
        <w:pStyle w:val="ListParagraph"/>
        <w:numPr>
          <w:ilvl w:val="0"/>
          <w:numId w:val="8"/>
        </w:numPr>
        <w:spacing w:line="240" w:lineRule="auto"/>
        <w:ind w:left="357"/>
        <w:rPr>
          <w:rFonts w:cs="Arial"/>
          <w:sz w:val="22"/>
        </w:rPr>
      </w:pPr>
      <w:r w:rsidRPr="00A55331">
        <w:rPr>
          <w:rFonts w:cs="Arial"/>
          <w:sz w:val="22"/>
        </w:rPr>
        <w:t xml:space="preserve">The </w:t>
      </w:r>
      <w:r w:rsidR="00B01FE9" w:rsidRPr="00A55331">
        <w:rPr>
          <w:rFonts w:cs="Arial"/>
          <w:sz w:val="22"/>
        </w:rPr>
        <w:t xml:space="preserve">main </w:t>
      </w:r>
      <w:r w:rsidRPr="00A55331">
        <w:rPr>
          <w:rFonts w:cs="Arial"/>
          <w:sz w:val="22"/>
        </w:rPr>
        <w:t xml:space="preserve">method of communication from which respondents get their information </w:t>
      </w:r>
      <w:r w:rsidR="00031F05">
        <w:rPr>
          <w:rFonts w:cs="Arial"/>
          <w:sz w:val="22"/>
        </w:rPr>
        <w:t>continues to be</w:t>
      </w:r>
      <w:r w:rsidRPr="00A55331">
        <w:rPr>
          <w:rFonts w:cs="Arial"/>
          <w:sz w:val="22"/>
        </w:rPr>
        <w:t xml:space="preserve"> First magazine</w:t>
      </w:r>
      <w:r w:rsidR="00031F05">
        <w:rPr>
          <w:rFonts w:cs="Arial"/>
          <w:sz w:val="22"/>
        </w:rPr>
        <w:t>; followed by</w:t>
      </w:r>
      <w:r w:rsidRPr="00A55331">
        <w:rPr>
          <w:rFonts w:cs="Arial"/>
          <w:sz w:val="22"/>
        </w:rPr>
        <w:t xml:space="preserve"> </w:t>
      </w:r>
      <w:r w:rsidR="00031F05" w:rsidRPr="00A55331">
        <w:rPr>
          <w:rFonts w:cs="Arial"/>
          <w:sz w:val="22"/>
        </w:rPr>
        <w:t>media work</w:t>
      </w:r>
      <w:r w:rsidR="00031F05">
        <w:rPr>
          <w:rFonts w:cs="Arial"/>
          <w:sz w:val="22"/>
        </w:rPr>
        <w:t>,</w:t>
      </w:r>
      <w:r w:rsidR="00031F05" w:rsidRPr="00A55331">
        <w:rPr>
          <w:rFonts w:cs="Arial"/>
          <w:sz w:val="22"/>
        </w:rPr>
        <w:t xml:space="preserve"> our website,</w:t>
      </w:r>
      <w:r w:rsidR="00031F05">
        <w:rPr>
          <w:rFonts w:cs="Arial"/>
          <w:sz w:val="22"/>
        </w:rPr>
        <w:t xml:space="preserve"> </w:t>
      </w:r>
      <w:r w:rsidR="00375926">
        <w:rPr>
          <w:rFonts w:cs="Arial"/>
          <w:sz w:val="22"/>
        </w:rPr>
        <w:t xml:space="preserve">conferences and </w:t>
      </w:r>
      <w:r w:rsidRPr="00A55331">
        <w:rPr>
          <w:rFonts w:cs="Arial"/>
          <w:sz w:val="22"/>
        </w:rPr>
        <w:t xml:space="preserve">events, and publications (such as </w:t>
      </w:r>
      <w:r w:rsidR="00EF53F3" w:rsidRPr="00A55331">
        <w:rPr>
          <w:rFonts w:cs="Arial"/>
          <w:sz w:val="22"/>
        </w:rPr>
        <w:t>‘</w:t>
      </w:r>
      <w:r w:rsidR="009B00F0" w:rsidRPr="00242808">
        <w:rPr>
          <w:rFonts w:cs="Arial"/>
          <w:i/>
          <w:sz w:val="22"/>
        </w:rPr>
        <w:t>100 Days</w:t>
      </w:r>
      <w:r w:rsidRPr="00242808">
        <w:rPr>
          <w:rFonts w:cs="Arial"/>
          <w:i/>
          <w:sz w:val="22"/>
        </w:rPr>
        <w:t>’</w:t>
      </w:r>
      <w:r w:rsidRPr="00A55331">
        <w:rPr>
          <w:rFonts w:cs="Arial"/>
          <w:sz w:val="22"/>
        </w:rPr>
        <w:t>).</w:t>
      </w:r>
    </w:p>
    <w:p w14:paraId="744DEB34" w14:textId="77777777" w:rsidR="0060524C" w:rsidRDefault="0060524C" w:rsidP="0060524C">
      <w:pPr>
        <w:pStyle w:val="ListParagraph"/>
        <w:numPr>
          <w:ilvl w:val="0"/>
          <w:numId w:val="0"/>
        </w:numPr>
        <w:spacing w:line="240" w:lineRule="auto"/>
        <w:ind w:left="357"/>
        <w:rPr>
          <w:rFonts w:cs="Arial"/>
          <w:sz w:val="22"/>
        </w:rPr>
      </w:pPr>
    </w:p>
    <w:p w14:paraId="744DEB35" w14:textId="3DC7EEF6" w:rsidR="0060524C" w:rsidRDefault="009B00F0" w:rsidP="0060524C">
      <w:pPr>
        <w:pStyle w:val="ListParagraph"/>
        <w:numPr>
          <w:ilvl w:val="0"/>
          <w:numId w:val="8"/>
        </w:numPr>
        <w:spacing w:line="240" w:lineRule="auto"/>
        <w:ind w:left="357"/>
        <w:rPr>
          <w:rFonts w:cs="Arial"/>
          <w:sz w:val="22"/>
        </w:rPr>
      </w:pPr>
      <w:r w:rsidRPr="00A55331">
        <w:rPr>
          <w:rFonts w:cs="Arial"/>
          <w:sz w:val="22"/>
        </w:rPr>
        <w:t>Nearly two-thirds (</w:t>
      </w:r>
      <w:r w:rsidR="00BF2DC8" w:rsidRPr="00A55331">
        <w:rPr>
          <w:rFonts w:cs="Arial"/>
          <w:b/>
          <w:sz w:val="22"/>
        </w:rPr>
        <w:t xml:space="preserve">62 </w:t>
      </w:r>
      <w:r w:rsidRPr="00A55331">
        <w:rPr>
          <w:rFonts w:cs="Arial"/>
          <w:b/>
          <w:sz w:val="22"/>
        </w:rPr>
        <w:t>per cent</w:t>
      </w:r>
      <w:r w:rsidRPr="00A55331">
        <w:rPr>
          <w:rFonts w:cs="Arial"/>
          <w:sz w:val="22"/>
        </w:rPr>
        <w:t xml:space="preserve">) of people have heard of our </w:t>
      </w:r>
      <w:r w:rsidR="00031F05" w:rsidRPr="00E43E9D">
        <w:rPr>
          <w:rFonts w:cs="Arial"/>
          <w:i/>
          <w:sz w:val="22"/>
        </w:rPr>
        <w:t>A Shared Commitment</w:t>
      </w:r>
      <w:r w:rsidR="0060524C">
        <w:rPr>
          <w:rFonts w:cs="Arial"/>
          <w:sz w:val="22"/>
        </w:rPr>
        <w:t xml:space="preserve"> campaign</w:t>
      </w:r>
      <w:r w:rsidR="007919A8">
        <w:rPr>
          <w:rFonts w:cs="Arial"/>
          <w:sz w:val="22"/>
        </w:rPr>
        <w:t>.</w:t>
      </w:r>
    </w:p>
    <w:p w14:paraId="744DEB36" w14:textId="77777777" w:rsidR="0060524C" w:rsidRPr="0060524C" w:rsidRDefault="0060524C" w:rsidP="0060524C">
      <w:pPr>
        <w:pStyle w:val="ListParagraph"/>
        <w:numPr>
          <w:ilvl w:val="0"/>
          <w:numId w:val="0"/>
        </w:numPr>
        <w:ind w:left="360"/>
        <w:rPr>
          <w:sz w:val="22"/>
        </w:rPr>
      </w:pPr>
    </w:p>
    <w:p w14:paraId="744DEB37" w14:textId="77777777" w:rsidR="0060524C" w:rsidRPr="0060524C" w:rsidRDefault="00D47D24" w:rsidP="0060524C">
      <w:pPr>
        <w:pStyle w:val="ListParagraph"/>
        <w:numPr>
          <w:ilvl w:val="0"/>
          <w:numId w:val="8"/>
        </w:numPr>
        <w:spacing w:line="240" w:lineRule="auto"/>
        <w:ind w:left="357"/>
        <w:rPr>
          <w:rFonts w:cs="Arial"/>
          <w:sz w:val="22"/>
        </w:rPr>
      </w:pPr>
      <w:r w:rsidRPr="0060524C">
        <w:rPr>
          <w:sz w:val="22"/>
        </w:rPr>
        <w:t>This year has seen another small increase in those who feel we offer value for money for the funding we receive (</w:t>
      </w:r>
      <w:r w:rsidR="00A131C4" w:rsidRPr="0060524C">
        <w:rPr>
          <w:b/>
          <w:sz w:val="22"/>
        </w:rPr>
        <w:t>56 per cent</w:t>
      </w:r>
      <w:r w:rsidR="00A131C4" w:rsidRPr="0060524C">
        <w:rPr>
          <w:sz w:val="22"/>
        </w:rPr>
        <w:t xml:space="preserve"> which is </w:t>
      </w:r>
      <w:r w:rsidR="00EF2438" w:rsidRPr="0060524C">
        <w:rPr>
          <w:sz w:val="22"/>
        </w:rPr>
        <w:t>significantly more than the</w:t>
      </w:r>
      <w:r w:rsidRPr="0060524C">
        <w:rPr>
          <w:sz w:val="22"/>
        </w:rPr>
        <w:t xml:space="preserve"> </w:t>
      </w:r>
      <w:r w:rsidR="00A131C4" w:rsidRPr="0060524C">
        <w:rPr>
          <w:sz w:val="22"/>
        </w:rPr>
        <w:t xml:space="preserve">43 per </w:t>
      </w:r>
      <w:r w:rsidR="00375926" w:rsidRPr="0060524C">
        <w:rPr>
          <w:sz w:val="22"/>
        </w:rPr>
        <w:t>cent in</w:t>
      </w:r>
      <w:r w:rsidR="00A131C4" w:rsidRPr="0060524C">
        <w:rPr>
          <w:sz w:val="22"/>
        </w:rPr>
        <w:t xml:space="preserve"> </w:t>
      </w:r>
      <w:r w:rsidRPr="0060524C">
        <w:rPr>
          <w:sz w:val="22"/>
        </w:rPr>
        <w:t xml:space="preserve">2012).  This is an area that councils </w:t>
      </w:r>
      <w:r w:rsidR="00375926" w:rsidRPr="0060524C">
        <w:rPr>
          <w:sz w:val="22"/>
        </w:rPr>
        <w:t xml:space="preserve">themselves </w:t>
      </w:r>
      <w:r w:rsidRPr="0060524C">
        <w:rPr>
          <w:sz w:val="22"/>
        </w:rPr>
        <w:t xml:space="preserve">find challenging and </w:t>
      </w:r>
      <w:r w:rsidR="00375926" w:rsidRPr="0060524C">
        <w:rPr>
          <w:sz w:val="22"/>
        </w:rPr>
        <w:t xml:space="preserve">it </w:t>
      </w:r>
      <w:r w:rsidRPr="0060524C">
        <w:rPr>
          <w:sz w:val="22"/>
        </w:rPr>
        <w:t xml:space="preserve">remains an area which requires more work to demonstrate our effectiveness </w:t>
      </w:r>
      <w:r w:rsidR="0060524C">
        <w:rPr>
          <w:sz w:val="22"/>
        </w:rPr>
        <w:t>to member councils.</w:t>
      </w:r>
    </w:p>
    <w:p w14:paraId="744DEB38" w14:textId="77777777" w:rsidR="0060524C" w:rsidRPr="0060524C" w:rsidRDefault="0060524C" w:rsidP="007919A8">
      <w:pPr>
        <w:pStyle w:val="ListParagraph"/>
        <w:numPr>
          <w:ilvl w:val="0"/>
          <w:numId w:val="0"/>
        </w:numPr>
        <w:ind w:left="360"/>
        <w:rPr>
          <w:sz w:val="22"/>
        </w:rPr>
      </w:pPr>
    </w:p>
    <w:p w14:paraId="744DEB39" w14:textId="77777777" w:rsidR="0060524C" w:rsidRPr="0060524C" w:rsidRDefault="00A131C4" w:rsidP="0060524C">
      <w:pPr>
        <w:pStyle w:val="ListParagraph"/>
        <w:numPr>
          <w:ilvl w:val="0"/>
          <w:numId w:val="8"/>
        </w:numPr>
        <w:spacing w:line="240" w:lineRule="auto"/>
        <w:ind w:left="357"/>
        <w:rPr>
          <w:rFonts w:cs="Arial"/>
          <w:sz w:val="22"/>
        </w:rPr>
      </w:pPr>
      <w:r w:rsidRPr="0060524C">
        <w:rPr>
          <w:sz w:val="22"/>
        </w:rPr>
        <w:t xml:space="preserve">At </w:t>
      </w:r>
      <w:r w:rsidRPr="0060524C">
        <w:rPr>
          <w:b/>
          <w:sz w:val="22"/>
        </w:rPr>
        <w:t>81 per cent</w:t>
      </w:r>
      <w:r w:rsidRPr="0060524C">
        <w:rPr>
          <w:sz w:val="22"/>
        </w:rPr>
        <w:t xml:space="preserve"> there has also been a</w:t>
      </w:r>
      <w:r w:rsidR="00375926" w:rsidRPr="0060524C">
        <w:rPr>
          <w:sz w:val="22"/>
        </w:rPr>
        <w:t>n</w:t>
      </w:r>
      <w:r w:rsidRPr="0060524C">
        <w:rPr>
          <w:sz w:val="22"/>
        </w:rPr>
        <w:t xml:space="preserve"> increase in those who think that the LGA understands what councils need to help them improve their services and organisational capacity</w:t>
      </w:r>
      <w:r w:rsidR="00375926" w:rsidRPr="0060524C">
        <w:rPr>
          <w:sz w:val="22"/>
        </w:rPr>
        <w:t>.</w:t>
      </w:r>
      <w:r w:rsidR="0060524C">
        <w:rPr>
          <w:sz w:val="22"/>
        </w:rPr>
        <w:t xml:space="preserve"> </w:t>
      </w:r>
    </w:p>
    <w:p w14:paraId="744DEB3A" w14:textId="77777777" w:rsidR="0060524C" w:rsidRPr="0060524C" w:rsidRDefault="0060524C" w:rsidP="0060524C">
      <w:pPr>
        <w:pStyle w:val="ListParagraph"/>
        <w:numPr>
          <w:ilvl w:val="0"/>
          <w:numId w:val="0"/>
        </w:numPr>
        <w:spacing w:line="240" w:lineRule="auto"/>
        <w:ind w:left="357"/>
        <w:rPr>
          <w:rFonts w:cs="Arial"/>
          <w:sz w:val="22"/>
        </w:rPr>
      </w:pPr>
    </w:p>
    <w:p w14:paraId="744DEB3B" w14:textId="1FFDC779" w:rsidR="00C467E3" w:rsidRPr="0060524C" w:rsidRDefault="00D47D24" w:rsidP="0060524C">
      <w:pPr>
        <w:pStyle w:val="ListParagraph"/>
        <w:numPr>
          <w:ilvl w:val="0"/>
          <w:numId w:val="8"/>
        </w:numPr>
        <w:spacing w:line="240" w:lineRule="auto"/>
        <w:ind w:left="357"/>
        <w:rPr>
          <w:rFonts w:cs="Arial"/>
          <w:sz w:val="22"/>
        </w:rPr>
      </w:pPr>
      <w:r w:rsidRPr="0060524C">
        <w:rPr>
          <w:rFonts w:cs="Arial"/>
          <w:sz w:val="22"/>
        </w:rPr>
        <w:t xml:space="preserve">We repeated the </w:t>
      </w:r>
      <w:r w:rsidR="00AD031E" w:rsidRPr="0060524C">
        <w:rPr>
          <w:rFonts w:cs="Arial"/>
          <w:sz w:val="22"/>
        </w:rPr>
        <w:t>series of questions about the Centre for Public Scrutiny</w:t>
      </w:r>
      <w:r w:rsidR="00C467E3" w:rsidRPr="0060524C">
        <w:rPr>
          <w:rFonts w:cs="Arial"/>
          <w:sz w:val="22"/>
        </w:rPr>
        <w:t xml:space="preserve"> (</w:t>
      </w:r>
      <w:proofErr w:type="spellStart"/>
      <w:r w:rsidR="00C467E3" w:rsidRPr="0060524C">
        <w:rPr>
          <w:rFonts w:cs="Arial"/>
          <w:sz w:val="22"/>
        </w:rPr>
        <w:t>CfPS</w:t>
      </w:r>
      <w:proofErr w:type="spellEnd"/>
      <w:r w:rsidR="00C467E3" w:rsidRPr="0060524C">
        <w:rPr>
          <w:rFonts w:cs="Arial"/>
          <w:sz w:val="22"/>
        </w:rPr>
        <w:t>)</w:t>
      </w:r>
      <w:r w:rsidR="00AD031E" w:rsidRPr="0060524C">
        <w:rPr>
          <w:rFonts w:cs="Arial"/>
          <w:sz w:val="22"/>
        </w:rPr>
        <w:t xml:space="preserve"> and Local Partnerships</w:t>
      </w:r>
      <w:r w:rsidRPr="0060524C">
        <w:rPr>
          <w:rFonts w:cs="Arial"/>
          <w:sz w:val="22"/>
        </w:rPr>
        <w:t xml:space="preserve">.  </w:t>
      </w:r>
      <w:r w:rsidR="00752F13" w:rsidRPr="0060524C">
        <w:rPr>
          <w:rFonts w:cs="Arial"/>
          <w:sz w:val="22"/>
        </w:rPr>
        <w:t>Around</w:t>
      </w:r>
      <w:r w:rsidR="00AD031E" w:rsidRPr="0060524C">
        <w:rPr>
          <w:rFonts w:cs="Arial"/>
          <w:sz w:val="22"/>
        </w:rPr>
        <w:t xml:space="preserve"> half of the respondents ha</w:t>
      </w:r>
      <w:r w:rsidR="00EF53F3" w:rsidRPr="0060524C">
        <w:rPr>
          <w:rFonts w:cs="Arial"/>
          <w:sz w:val="22"/>
        </w:rPr>
        <w:t>ve</w:t>
      </w:r>
      <w:r w:rsidR="00AD031E" w:rsidRPr="0060524C">
        <w:rPr>
          <w:rFonts w:cs="Arial"/>
          <w:sz w:val="22"/>
        </w:rPr>
        <w:t xml:space="preserve"> heard of the Centre for Public Scrutiny</w:t>
      </w:r>
      <w:r w:rsidR="00BF2DC8" w:rsidRPr="0060524C">
        <w:rPr>
          <w:rFonts w:cs="Arial"/>
          <w:sz w:val="22"/>
        </w:rPr>
        <w:t xml:space="preserve"> (</w:t>
      </w:r>
      <w:r w:rsidR="00BF2DC8" w:rsidRPr="0060524C">
        <w:rPr>
          <w:rFonts w:cs="Arial"/>
          <w:b/>
          <w:sz w:val="22"/>
        </w:rPr>
        <w:t>52</w:t>
      </w:r>
      <w:r w:rsidR="0053063B" w:rsidRPr="0060524C">
        <w:rPr>
          <w:rFonts w:cs="Arial"/>
          <w:b/>
          <w:sz w:val="22"/>
        </w:rPr>
        <w:t xml:space="preserve"> per cent</w:t>
      </w:r>
      <w:r w:rsidR="00BF2DC8" w:rsidRPr="0060524C">
        <w:rPr>
          <w:rFonts w:cs="Arial"/>
          <w:sz w:val="22"/>
        </w:rPr>
        <w:t>)</w:t>
      </w:r>
      <w:r w:rsidR="00C467E3" w:rsidRPr="0060524C">
        <w:rPr>
          <w:rFonts w:cs="Arial"/>
          <w:sz w:val="22"/>
        </w:rPr>
        <w:t xml:space="preserve"> and </w:t>
      </w:r>
      <w:r w:rsidR="00AD031E" w:rsidRPr="0060524C">
        <w:rPr>
          <w:rFonts w:cs="Arial"/>
          <w:sz w:val="22"/>
        </w:rPr>
        <w:t>Local Partnerships</w:t>
      </w:r>
      <w:r w:rsidR="00C467E3" w:rsidRPr="0060524C">
        <w:rPr>
          <w:rFonts w:cs="Arial"/>
          <w:sz w:val="22"/>
        </w:rPr>
        <w:t xml:space="preserve"> (</w:t>
      </w:r>
      <w:r w:rsidR="00A71DAA" w:rsidRPr="0060524C">
        <w:rPr>
          <w:rFonts w:cs="Arial"/>
          <w:b/>
          <w:sz w:val="22"/>
        </w:rPr>
        <w:t xml:space="preserve">50 </w:t>
      </w:r>
      <w:r w:rsidR="0053063B" w:rsidRPr="0060524C">
        <w:rPr>
          <w:rFonts w:cs="Arial"/>
          <w:b/>
          <w:sz w:val="22"/>
        </w:rPr>
        <w:t>per cent</w:t>
      </w:r>
      <w:r w:rsidR="00BF2DC8" w:rsidRPr="0060524C">
        <w:rPr>
          <w:rFonts w:cs="Arial"/>
          <w:sz w:val="22"/>
        </w:rPr>
        <w:t xml:space="preserve">, </w:t>
      </w:r>
      <w:r w:rsidR="00C467E3" w:rsidRPr="0060524C">
        <w:rPr>
          <w:rFonts w:cs="Arial"/>
          <w:sz w:val="22"/>
        </w:rPr>
        <w:t>a</w:t>
      </w:r>
      <w:r w:rsidRPr="0060524C">
        <w:rPr>
          <w:rFonts w:cs="Arial"/>
          <w:sz w:val="22"/>
        </w:rPr>
        <w:t xml:space="preserve">lthough this is a </w:t>
      </w:r>
      <w:r w:rsidR="00A71DAA" w:rsidRPr="0060524C">
        <w:rPr>
          <w:rFonts w:cs="Arial"/>
          <w:sz w:val="22"/>
        </w:rPr>
        <w:t xml:space="preserve">decrease </w:t>
      </w:r>
      <w:r w:rsidRPr="0060524C">
        <w:rPr>
          <w:rFonts w:cs="Arial"/>
          <w:sz w:val="22"/>
        </w:rPr>
        <w:t xml:space="preserve">from </w:t>
      </w:r>
      <w:r w:rsidR="00481AB6" w:rsidRPr="0060524C">
        <w:rPr>
          <w:rFonts w:cs="Arial"/>
          <w:sz w:val="22"/>
        </w:rPr>
        <w:t xml:space="preserve">58 per cent </w:t>
      </w:r>
      <w:r w:rsidRPr="0060524C">
        <w:rPr>
          <w:rFonts w:cs="Arial"/>
          <w:sz w:val="22"/>
        </w:rPr>
        <w:t>i</w:t>
      </w:r>
      <w:r w:rsidR="00C467E3" w:rsidRPr="0060524C">
        <w:rPr>
          <w:rFonts w:cs="Arial"/>
          <w:sz w:val="22"/>
        </w:rPr>
        <w:t>n 201</w:t>
      </w:r>
      <w:r w:rsidR="00A71DAA" w:rsidRPr="0060524C">
        <w:rPr>
          <w:rFonts w:cs="Arial"/>
          <w:sz w:val="22"/>
        </w:rPr>
        <w:t>4</w:t>
      </w:r>
      <w:r w:rsidR="00C467E3" w:rsidRPr="0060524C">
        <w:rPr>
          <w:rFonts w:cs="Arial"/>
          <w:sz w:val="22"/>
        </w:rPr>
        <w:t>)</w:t>
      </w:r>
      <w:r w:rsidR="00EF53F3" w:rsidRPr="0060524C">
        <w:rPr>
          <w:rFonts w:cs="Arial"/>
          <w:sz w:val="22"/>
        </w:rPr>
        <w:t>.  O</w:t>
      </w:r>
      <w:r w:rsidR="00B01FE9" w:rsidRPr="0060524C">
        <w:rPr>
          <w:rFonts w:cs="Arial"/>
          <w:sz w:val="22"/>
        </w:rPr>
        <w:t>f those</w:t>
      </w:r>
      <w:r w:rsidR="00752F13" w:rsidRPr="0060524C">
        <w:rPr>
          <w:rFonts w:cs="Arial"/>
          <w:sz w:val="22"/>
        </w:rPr>
        <w:t xml:space="preserve"> who had used the services</w:t>
      </w:r>
      <w:r w:rsidR="00B01FE9" w:rsidRPr="0060524C">
        <w:rPr>
          <w:rFonts w:cs="Arial"/>
          <w:sz w:val="22"/>
        </w:rPr>
        <w:t xml:space="preserve">, </w:t>
      </w:r>
      <w:r w:rsidR="00A71DAA" w:rsidRPr="0060524C">
        <w:rPr>
          <w:rFonts w:cs="Arial"/>
          <w:b/>
          <w:sz w:val="22"/>
        </w:rPr>
        <w:t xml:space="preserve">82 </w:t>
      </w:r>
      <w:r w:rsidR="00C467E3" w:rsidRPr="0060524C">
        <w:rPr>
          <w:rFonts w:cs="Arial"/>
          <w:b/>
          <w:sz w:val="22"/>
        </w:rPr>
        <w:t>per cent</w:t>
      </w:r>
      <w:r w:rsidR="00C467E3" w:rsidRPr="0060524C">
        <w:rPr>
          <w:rFonts w:cs="Arial"/>
          <w:sz w:val="22"/>
        </w:rPr>
        <w:t xml:space="preserve"> were satisfied with </w:t>
      </w:r>
      <w:proofErr w:type="spellStart"/>
      <w:r w:rsidR="00C467E3" w:rsidRPr="0060524C">
        <w:rPr>
          <w:rFonts w:cs="Arial"/>
          <w:sz w:val="22"/>
        </w:rPr>
        <w:t>CfPS</w:t>
      </w:r>
      <w:proofErr w:type="spellEnd"/>
      <w:r w:rsidR="00CF1D8B" w:rsidRPr="0060524C">
        <w:rPr>
          <w:rFonts w:cs="Arial"/>
          <w:sz w:val="22"/>
        </w:rPr>
        <w:t xml:space="preserve"> (significantly greater than 77 per cent in 2014)</w:t>
      </w:r>
      <w:r w:rsidR="00C467E3" w:rsidRPr="0060524C">
        <w:rPr>
          <w:rFonts w:cs="Arial"/>
          <w:sz w:val="22"/>
        </w:rPr>
        <w:t xml:space="preserve"> and </w:t>
      </w:r>
      <w:r w:rsidR="00A71DAA" w:rsidRPr="0060524C">
        <w:rPr>
          <w:rFonts w:cs="Arial"/>
          <w:b/>
          <w:sz w:val="22"/>
        </w:rPr>
        <w:t xml:space="preserve">79 </w:t>
      </w:r>
      <w:r w:rsidR="00C467E3" w:rsidRPr="0060524C">
        <w:rPr>
          <w:rFonts w:cs="Arial"/>
          <w:b/>
          <w:sz w:val="22"/>
        </w:rPr>
        <w:t>per cent</w:t>
      </w:r>
      <w:r w:rsidR="00C467E3" w:rsidRPr="0060524C">
        <w:rPr>
          <w:rFonts w:cs="Arial"/>
          <w:sz w:val="22"/>
        </w:rPr>
        <w:t xml:space="preserve"> with Local Partnerships</w:t>
      </w:r>
      <w:r w:rsidR="00CF1D8B" w:rsidRPr="0060524C">
        <w:rPr>
          <w:rFonts w:cs="Arial"/>
          <w:sz w:val="22"/>
        </w:rPr>
        <w:t xml:space="preserve"> (significantly greater than 71 per cent in 2014)</w:t>
      </w:r>
      <w:r w:rsidR="00C467E3" w:rsidRPr="0060524C">
        <w:rPr>
          <w:rFonts w:cs="Arial"/>
          <w:sz w:val="22"/>
        </w:rPr>
        <w:t>.</w:t>
      </w:r>
    </w:p>
    <w:p w14:paraId="744DEB3D" w14:textId="77777777" w:rsidR="00F634D7" w:rsidRPr="00B61D2E" w:rsidRDefault="00F634D7" w:rsidP="00F634D7">
      <w:pPr>
        <w:pStyle w:val="Caption"/>
        <w:keepNext/>
      </w:pPr>
      <w:r w:rsidRPr="00B61D2E">
        <w:t xml:space="preserve">Table </w:t>
      </w:r>
      <w:r w:rsidR="006F37C7">
        <w:fldChar w:fldCharType="begin"/>
      </w:r>
      <w:r w:rsidR="006F37C7">
        <w:instrText xml:space="preserve"> SEQ Table \* ARABIC </w:instrText>
      </w:r>
      <w:r w:rsidR="006F37C7">
        <w:fldChar w:fldCharType="separate"/>
      </w:r>
      <w:r w:rsidR="00242808">
        <w:rPr>
          <w:noProof/>
        </w:rPr>
        <w:t>1</w:t>
      </w:r>
      <w:r w:rsidR="006F37C7">
        <w:rPr>
          <w:noProof/>
        </w:rPr>
        <w:fldChar w:fldCharType="end"/>
      </w:r>
      <w:r w:rsidRPr="00B61D2E">
        <w:t>: Key findings</w:t>
      </w:r>
    </w:p>
    <w:tbl>
      <w:tblPr>
        <w:tblW w:w="9527" w:type="dxa"/>
        <w:tblInd w:w="-176" w:type="dxa"/>
        <w:tblBorders>
          <w:top w:val="single" w:sz="4" w:space="0" w:color="91278F"/>
          <w:left w:val="single" w:sz="4" w:space="0" w:color="91278F"/>
          <w:bottom w:val="single" w:sz="4" w:space="0" w:color="91278F"/>
          <w:right w:val="single" w:sz="4" w:space="0" w:color="91278F"/>
          <w:insideH w:val="single" w:sz="4" w:space="0" w:color="91278F"/>
          <w:insideV w:val="single" w:sz="4" w:space="0" w:color="91278F"/>
        </w:tblBorders>
        <w:tblLook w:val="04A0" w:firstRow="1" w:lastRow="0" w:firstColumn="1" w:lastColumn="0" w:noHBand="0" w:noVBand="1"/>
      </w:tblPr>
      <w:tblGrid>
        <w:gridCol w:w="3970"/>
        <w:gridCol w:w="1021"/>
        <w:gridCol w:w="1134"/>
        <w:gridCol w:w="1134"/>
        <w:gridCol w:w="1134"/>
        <w:gridCol w:w="1134"/>
      </w:tblGrid>
      <w:tr w:rsidR="00C03731" w:rsidRPr="00C03731" w14:paraId="744DEB44" w14:textId="77777777" w:rsidTr="007B2D93">
        <w:trPr>
          <w:trHeight w:val="1091"/>
          <w:tblHeader/>
        </w:trPr>
        <w:tc>
          <w:tcPr>
            <w:tcW w:w="3970" w:type="dxa"/>
            <w:shd w:val="clear" w:color="auto" w:fill="91278F"/>
            <w:vAlign w:val="bottom"/>
          </w:tcPr>
          <w:p w14:paraId="744DEB3E" w14:textId="77777777" w:rsidR="00C03731" w:rsidRPr="00C03731" w:rsidRDefault="00C03731" w:rsidP="00C03731">
            <w:pPr>
              <w:rPr>
                <w:rFonts w:cs="Arial"/>
                <w:b/>
                <w:color w:val="FFFFFF" w:themeColor="background1"/>
                <w:sz w:val="20"/>
              </w:rPr>
            </w:pPr>
            <w:r w:rsidRPr="00C03731">
              <w:rPr>
                <w:rFonts w:cs="Arial"/>
                <w:b/>
                <w:color w:val="FFFFFF" w:themeColor="background1"/>
                <w:sz w:val="20"/>
              </w:rPr>
              <w:t>Question</w:t>
            </w:r>
          </w:p>
        </w:tc>
        <w:tc>
          <w:tcPr>
            <w:tcW w:w="1021" w:type="dxa"/>
            <w:shd w:val="clear" w:color="auto" w:fill="91278F"/>
            <w:vAlign w:val="bottom"/>
          </w:tcPr>
          <w:p w14:paraId="744DEB3F" w14:textId="77777777" w:rsidR="00C03731" w:rsidRPr="00C03731" w:rsidRDefault="00C03731" w:rsidP="00C03731">
            <w:pPr>
              <w:jc w:val="right"/>
              <w:rPr>
                <w:rFonts w:cs="Arial"/>
                <w:b/>
                <w:color w:val="FFFFFF" w:themeColor="background1"/>
                <w:sz w:val="20"/>
              </w:rPr>
            </w:pPr>
            <w:r w:rsidRPr="00C03731">
              <w:rPr>
                <w:rFonts w:cs="Arial"/>
                <w:b/>
                <w:color w:val="FFFFFF" w:themeColor="background1"/>
                <w:sz w:val="20"/>
              </w:rPr>
              <w:t>2012</w:t>
            </w:r>
          </w:p>
        </w:tc>
        <w:tc>
          <w:tcPr>
            <w:tcW w:w="1134" w:type="dxa"/>
            <w:shd w:val="clear" w:color="auto" w:fill="91278F"/>
            <w:vAlign w:val="bottom"/>
          </w:tcPr>
          <w:p w14:paraId="744DEB40" w14:textId="77777777" w:rsidR="00C03731" w:rsidRPr="00C03731" w:rsidRDefault="00C03731" w:rsidP="00C03731">
            <w:pPr>
              <w:jc w:val="right"/>
              <w:rPr>
                <w:rFonts w:cs="Arial"/>
                <w:b/>
                <w:color w:val="FFFFFF" w:themeColor="background1"/>
                <w:sz w:val="20"/>
              </w:rPr>
            </w:pPr>
            <w:r w:rsidRPr="00C03731">
              <w:rPr>
                <w:rFonts w:cs="Arial"/>
                <w:b/>
                <w:color w:val="FFFFFF" w:themeColor="background1"/>
                <w:sz w:val="20"/>
              </w:rPr>
              <w:t>2013</w:t>
            </w:r>
          </w:p>
        </w:tc>
        <w:tc>
          <w:tcPr>
            <w:tcW w:w="1134" w:type="dxa"/>
            <w:shd w:val="clear" w:color="auto" w:fill="91278F"/>
            <w:vAlign w:val="bottom"/>
          </w:tcPr>
          <w:p w14:paraId="744DEB41" w14:textId="77777777" w:rsidR="00C03731" w:rsidRPr="00C03731" w:rsidRDefault="00C03731" w:rsidP="00C03731">
            <w:pPr>
              <w:jc w:val="right"/>
              <w:rPr>
                <w:rFonts w:cs="Arial"/>
                <w:b/>
                <w:color w:val="FFFFFF" w:themeColor="background1"/>
                <w:sz w:val="20"/>
              </w:rPr>
            </w:pPr>
            <w:r w:rsidRPr="00C03731">
              <w:rPr>
                <w:rFonts w:cs="Arial"/>
                <w:b/>
                <w:color w:val="FFFFFF" w:themeColor="background1"/>
                <w:sz w:val="20"/>
              </w:rPr>
              <w:t>2014</w:t>
            </w:r>
          </w:p>
        </w:tc>
        <w:tc>
          <w:tcPr>
            <w:tcW w:w="1134" w:type="dxa"/>
            <w:shd w:val="clear" w:color="auto" w:fill="91278F"/>
            <w:vAlign w:val="bottom"/>
          </w:tcPr>
          <w:p w14:paraId="744DEB42" w14:textId="77777777" w:rsidR="00C03731" w:rsidRPr="00C03731" w:rsidRDefault="00C03731" w:rsidP="00C03731">
            <w:pPr>
              <w:jc w:val="right"/>
              <w:rPr>
                <w:rFonts w:cs="Arial"/>
                <w:b/>
                <w:color w:val="FFFFFF" w:themeColor="background1"/>
                <w:sz w:val="20"/>
              </w:rPr>
            </w:pPr>
            <w:r w:rsidRPr="00C03731">
              <w:rPr>
                <w:rFonts w:cs="Arial"/>
                <w:b/>
                <w:color w:val="FFFFFF" w:themeColor="background1"/>
                <w:sz w:val="20"/>
              </w:rPr>
              <w:t>2015</w:t>
            </w:r>
          </w:p>
        </w:tc>
        <w:tc>
          <w:tcPr>
            <w:tcW w:w="1134" w:type="dxa"/>
            <w:shd w:val="clear" w:color="auto" w:fill="91278F"/>
            <w:vAlign w:val="bottom"/>
          </w:tcPr>
          <w:p w14:paraId="744DEB43" w14:textId="77777777" w:rsidR="00C03731" w:rsidRPr="00C03731" w:rsidRDefault="00C03731" w:rsidP="00C03731">
            <w:pPr>
              <w:jc w:val="right"/>
              <w:rPr>
                <w:rFonts w:cs="Arial"/>
                <w:b/>
                <w:color w:val="FFFFFF" w:themeColor="background1"/>
                <w:sz w:val="20"/>
              </w:rPr>
            </w:pPr>
            <w:r w:rsidRPr="001361C1">
              <w:rPr>
                <w:rFonts w:cs="Arial"/>
                <w:b/>
                <w:color w:val="FFFFFF" w:themeColor="background1"/>
                <w:sz w:val="20"/>
              </w:rPr>
              <w:t>201</w:t>
            </w:r>
            <w:r w:rsidR="0027170A" w:rsidRPr="001361C1">
              <w:rPr>
                <w:rFonts w:cs="Arial"/>
                <w:b/>
                <w:color w:val="FFFFFF" w:themeColor="background1"/>
                <w:sz w:val="20"/>
              </w:rPr>
              <w:t>4</w:t>
            </w:r>
            <w:r w:rsidRPr="001361C1">
              <w:rPr>
                <w:rFonts w:cs="Arial"/>
                <w:b/>
                <w:color w:val="FFFFFF" w:themeColor="background1"/>
                <w:sz w:val="20"/>
              </w:rPr>
              <w:t xml:space="preserve"> to 201</w:t>
            </w:r>
            <w:r w:rsidR="0027170A" w:rsidRPr="001361C1">
              <w:rPr>
                <w:rFonts w:cs="Arial"/>
                <w:b/>
                <w:color w:val="FFFFFF" w:themeColor="background1"/>
                <w:sz w:val="20"/>
              </w:rPr>
              <w:t>5</w:t>
            </w:r>
            <w:r w:rsidRPr="001361C1">
              <w:rPr>
                <w:rFonts w:cs="Arial"/>
                <w:b/>
                <w:color w:val="FFFFFF" w:themeColor="background1"/>
                <w:sz w:val="20"/>
              </w:rPr>
              <w:t xml:space="preserve"> % point</w:t>
            </w:r>
            <w:r w:rsidRPr="00C03731">
              <w:rPr>
                <w:rFonts w:cs="Arial"/>
                <w:b/>
                <w:color w:val="FFFFFF" w:themeColor="background1"/>
                <w:sz w:val="20"/>
              </w:rPr>
              <w:t xml:space="preserve"> change</w:t>
            </w:r>
          </w:p>
        </w:tc>
      </w:tr>
      <w:tr w:rsidR="00C03731" w:rsidRPr="00C03731" w14:paraId="744DEB4B" w14:textId="77777777" w:rsidTr="00812E30">
        <w:trPr>
          <w:trHeight w:val="261"/>
        </w:trPr>
        <w:tc>
          <w:tcPr>
            <w:tcW w:w="3970" w:type="dxa"/>
            <w:shd w:val="clear" w:color="auto" w:fill="auto"/>
          </w:tcPr>
          <w:p w14:paraId="744DEB45" w14:textId="77777777" w:rsidR="00C03731" w:rsidRPr="00C03731" w:rsidRDefault="00C03731" w:rsidP="00C03731">
            <w:pPr>
              <w:rPr>
                <w:rFonts w:cs="Arial"/>
                <w:sz w:val="20"/>
              </w:rPr>
            </w:pPr>
            <w:r w:rsidRPr="00C03731">
              <w:rPr>
                <w:rFonts w:cs="Arial"/>
                <w:sz w:val="20"/>
              </w:rPr>
              <w:t>I would speak positively about the LGA</w:t>
            </w:r>
          </w:p>
        </w:tc>
        <w:tc>
          <w:tcPr>
            <w:tcW w:w="1021" w:type="dxa"/>
            <w:shd w:val="clear" w:color="auto" w:fill="auto"/>
            <w:vAlign w:val="bottom"/>
          </w:tcPr>
          <w:p w14:paraId="744DEB46" w14:textId="77777777" w:rsidR="00C03731" w:rsidRPr="00C03731" w:rsidRDefault="00C03731" w:rsidP="00C03731">
            <w:pPr>
              <w:jc w:val="right"/>
              <w:rPr>
                <w:rFonts w:cs="Arial"/>
                <w:sz w:val="20"/>
              </w:rPr>
            </w:pPr>
            <w:r w:rsidRPr="00C03731">
              <w:rPr>
                <w:rFonts w:cs="Arial"/>
                <w:sz w:val="20"/>
              </w:rPr>
              <w:t>63%</w:t>
            </w:r>
          </w:p>
        </w:tc>
        <w:tc>
          <w:tcPr>
            <w:tcW w:w="1134" w:type="dxa"/>
            <w:shd w:val="clear" w:color="auto" w:fill="auto"/>
            <w:vAlign w:val="bottom"/>
          </w:tcPr>
          <w:p w14:paraId="744DEB47" w14:textId="77777777" w:rsidR="00C03731" w:rsidRPr="00C03731" w:rsidRDefault="00C03731" w:rsidP="00C03731">
            <w:pPr>
              <w:jc w:val="right"/>
              <w:rPr>
                <w:rFonts w:cs="Arial"/>
                <w:sz w:val="20"/>
              </w:rPr>
            </w:pPr>
            <w:r w:rsidRPr="00C03731">
              <w:rPr>
                <w:rFonts w:cs="Arial"/>
                <w:sz w:val="20"/>
              </w:rPr>
              <w:t>73%</w:t>
            </w:r>
          </w:p>
        </w:tc>
        <w:tc>
          <w:tcPr>
            <w:tcW w:w="1134" w:type="dxa"/>
            <w:vAlign w:val="bottom"/>
          </w:tcPr>
          <w:p w14:paraId="744DEB48" w14:textId="77777777" w:rsidR="00C03731" w:rsidRPr="00C03731" w:rsidRDefault="00C03731" w:rsidP="00C03731">
            <w:pPr>
              <w:jc w:val="right"/>
              <w:rPr>
                <w:rFonts w:cs="Arial"/>
                <w:sz w:val="20"/>
              </w:rPr>
            </w:pPr>
            <w:r w:rsidRPr="00C03731">
              <w:rPr>
                <w:rFonts w:cs="Arial"/>
                <w:sz w:val="20"/>
              </w:rPr>
              <w:t>72%</w:t>
            </w:r>
          </w:p>
        </w:tc>
        <w:tc>
          <w:tcPr>
            <w:tcW w:w="1134" w:type="dxa"/>
            <w:vAlign w:val="bottom"/>
          </w:tcPr>
          <w:p w14:paraId="744DEB49" w14:textId="77777777" w:rsidR="00C03731" w:rsidRPr="00C03731" w:rsidRDefault="00A131C4" w:rsidP="00A131C4">
            <w:pPr>
              <w:jc w:val="right"/>
              <w:rPr>
                <w:rFonts w:cs="Arial"/>
                <w:b/>
                <w:sz w:val="20"/>
              </w:rPr>
            </w:pPr>
            <w:r w:rsidRPr="00C03731">
              <w:rPr>
                <w:rFonts w:cs="Arial"/>
                <w:b/>
                <w:sz w:val="20"/>
              </w:rPr>
              <w:t>7</w:t>
            </w:r>
            <w:r>
              <w:rPr>
                <w:rFonts w:cs="Arial"/>
                <w:b/>
                <w:sz w:val="20"/>
              </w:rPr>
              <w:t>4</w:t>
            </w:r>
            <w:r w:rsidR="00C03731" w:rsidRPr="00C03731">
              <w:rPr>
                <w:rFonts w:cs="Arial"/>
                <w:b/>
                <w:sz w:val="20"/>
              </w:rPr>
              <w:t>%</w:t>
            </w:r>
          </w:p>
        </w:tc>
        <w:tc>
          <w:tcPr>
            <w:tcW w:w="1134" w:type="dxa"/>
            <w:shd w:val="clear" w:color="auto" w:fill="auto"/>
            <w:vAlign w:val="bottom"/>
          </w:tcPr>
          <w:p w14:paraId="744DEB4A" w14:textId="77777777" w:rsidR="00C03731" w:rsidRPr="00C03731" w:rsidRDefault="00C03731" w:rsidP="00A131C4">
            <w:pPr>
              <w:jc w:val="right"/>
              <w:rPr>
                <w:rFonts w:cs="Arial"/>
                <w:b/>
                <w:sz w:val="20"/>
              </w:rPr>
            </w:pPr>
            <w:r w:rsidRPr="00C03731">
              <w:rPr>
                <w:rFonts w:cs="Arial"/>
                <w:b/>
                <w:sz w:val="20"/>
              </w:rPr>
              <w:t>+</w:t>
            </w:r>
            <w:r w:rsidR="00A131C4">
              <w:rPr>
                <w:rFonts w:cs="Arial"/>
                <w:b/>
                <w:sz w:val="20"/>
              </w:rPr>
              <w:t>2</w:t>
            </w:r>
            <w:r w:rsidRPr="00C03731">
              <w:rPr>
                <w:rFonts w:cs="Arial"/>
                <w:b/>
                <w:sz w:val="20"/>
              </w:rPr>
              <w:t>%</w:t>
            </w:r>
          </w:p>
        </w:tc>
      </w:tr>
      <w:tr w:rsidR="00C03731" w:rsidRPr="00C03731" w14:paraId="744DEB52" w14:textId="77777777" w:rsidTr="00812E30">
        <w:trPr>
          <w:trHeight w:val="554"/>
        </w:trPr>
        <w:tc>
          <w:tcPr>
            <w:tcW w:w="3970" w:type="dxa"/>
            <w:shd w:val="clear" w:color="auto" w:fill="auto"/>
          </w:tcPr>
          <w:p w14:paraId="744DEB4C" w14:textId="77777777" w:rsidR="00C03731" w:rsidRPr="00C03731" w:rsidRDefault="00C03731" w:rsidP="00C03731">
            <w:pPr>
              <w:rPr>
                <w:rFonts w:cs="Arial"/>
                <w:sz w:val="20"/>
              </w:rPr>
            </w:pPr>
            <w:r w:rsidRPr="00C03731">
              <w:rPr>
                <w:rFonts w:cs="Arial"/>
                <w:sz w:val="20"/>
              </w:rPr>
              <w:t xml:space="preserve">Satisfied </w:t>
            </w:r>
            <w:r w:rsidRPr="00C03731">
              <w:rPr>
                <w:rFonts w:cs="Arial"/>
                <w:color w:val="000000"/>
                <w:sz w:val="20"/>
              </w:rPr>
              <w:t>with the work of the LGA on behalf of the local government sector</w:t>
            </w:r>
          </w:p>
        </w:tc>
        <w:tc>
          <w:tcPr>
            <w:tcW w:w="1021" w:type="dxa"/>
            <w:shd w:val="clear" w:color="auto" w:fill="auto"/>
            <w:vAlign w:val="bottom"/>
          </w:tcPr>
          <w:p w14:paraId="744DEB4D" w14:textId="77777777" w:rsidR="00C03731" w:rsidRPr="00C03731" w:rsidRDefault="00C03731" w:rsidP="00C03731">
            <w:pPr>
              <w:jc w:val="right"/>
              <w:rPr>
                <w:rFonts w:cs="Arial"/>
                <w:sz w:val="20"/>
              </w:rPr>
            </w:pPr>
            <w:r w:rsidRPr="00C03731">
              <w:rPr>
                <w:rFonts w:cs="Arial"/>
                <w:sz w:val="20"/>
              </w:rPr>
              <w:t>62%</w:t>
            </w:r>
          </w:p>
        </w:tc>
        <w:tc>
          <w:tcPr>
            <w:tcW w:w="1134" w:type="dxa"/>
            <w:shd w:val="clear" w:color="auto" w:fill="auto"/>
            <w:vAlign w:val="bottom"/>
          </w:tcPr>
          <w:p w14:paraId="744DEB4E" w14:textId="77777777" w:rsidR="00C03731" w:rsidRPr="00C03731" w:rsidRDefault="00C03731" w:rsidP="00C03731">
            <w:pPr>
              <w:jc w:val="right"/>
              <w:rPr>
                <w:rFonts w:cs="Arial"/>
                <w:sz w:val="20"/>
              </w:rPr>
            </w:pPr>
            <w:r w:rsidRPr="00C03731">
              <w:rPr>
                <w:rFonts w:cs="Arial"/>
                <w:sz w:val="20"/>
              </w:rPr>
              <w:t>70%</w:t>
            </w:r>
          </w:p>
        </w:tc>
        <w:tc>
          <w:tcPr>
            <w:tcW w:w="1134" w:type="dxa"/>
            <w:vAlign w:val="bottom"/>
          </w:tcPr>
          <w:p w14:paraId="744DEB4F" w14:textId="77777777" w:rsidR="00C03731" w:rsidRPr="00C03731" w:rsidRDefault="00C03731" w:rsidP="00C03731">
            <w:pPr>
              <w:jc w:val="right"/>
              <w:rPr>
                <w:rFonts w:cs="Arial"/>
                <w:sz w:val="20"/>
              </w:rPr>
            </w:pPr>
            <w:r w:rsidRPr="00C03731">
              <w:rPr>
                <w:rFonts w:cs="Arial"/>
                <w:sz w:val="20"/>
              </w:rPr>
              <w:t>75%</w:t>
            </w:r>
          </w:p>
        </w:tc>
        <w:tc>
          <w:tcPr>
            <w:tcW w:w="1134" w:type="dxa"/>
            <w:vAlign w:val="bottom"/>
          </w:tcPr>
          <w:p w14:paraId="744DEB50" w14:textId="77777777" w:rsidR="00C03731" w:rsidRPr="00C03731" w:rsidRDefault="00C03731" w:rsidP="00C03731">
            <w:pPr>
              <w:jc w:val="right"/>
              <w:rPr>
                <w:rFonts w:cs="Arial"/>
                <w:b/>
                <w:sz w:val="20"/>
              </w:rPr>
            </w:pPr>
            <w:r w:rsidRPr="00C03731">
              <w:rPr>
                <w:rFonts w:cs="Arial"/>
                <w:b/>
                <w:sz w:val="20"/>
              </w:rPr>
              <w:t>76%</w:t>
            </w:r>
          </w:p>
        </w:tc>
        <w:tc>
          <w:tcPr>
            <w:tcW w:w="1134" w:type="dxa"/>
            <w:shd w:val="clear" w:color="auto" w:fill="auto"/>
            <w:vAlign w:val="bottom"/>
          </w:tcPr>
          <w:p w14:paraId="744DEB51" w14:textId="77777777" w:rsidR="00C03731" w:rsidRPr="00C03731" w:rsidRDefault="00C03731" w:rsidP="00C03731">
            <w:pPr>
              <w:jc w:val="right"/>
              <w:rPr>
                <w:rFonts w:cs="Arial"/>
                <w:b/>
                <w:sz w:val="20"/>
              </w:rPr>
            </w:pPr>
            <w:r w:rsidRPr="00C03731">
              <w:rPr>
                <w:rFonts w:cs="Arial"/>
                <w:b/>
                <w:sz w:val="20"/>
              </w:rPr>
              <w:t>+1%</w:t>
            </w:r>
          </w:p>
        </w:tc>
      </w:tr>
      <w:tr w:rsidR="00C03731" w:rsidRPr="00C03731" w14:paraId="744DEB59" w14:textId="77777777" w:rsidTr="00812E30">
        <w:trPr>
          <w:trHeight w:val="537"/>
        </w:trPr>
        <w:tc>
          <w:tcPr>
            <w:tcW w:w="3970" w:type="dxa"/>
            <w:shd w:val="clear" w:color="auto" w:fill="auto"/>
          </w:tcPr>
          <w:p w14:paraId="744DEB53" w14:textId="77777777" w:rsidR="00C03731" w:rsidRPr="00C03731" w:rsidRDefault="00C03731" w:rsidP="00C03731">
            <w:pPr>
              <w:spacing w:before="100" w:beforeAutospacing="1" w:after="100" w:afterAutospacing="1"/>
              <w:ind w:right="60"/>
              <w:rPr>
                <w:rFonts w:cs="Arial"/>
                <w:sz w:val="20"/>
              </w:rPr>
            </w:pPr>
            <w:r w:rsidRPr="00C03731">
              <w:rPr>
                <w:rFonts w:cs="Arial"/>
                <w:sz w:val="20"/>
              </w:rPr>
              <w:t xml:space="preserve">The LGA </w:t>
            </w:r>
            <w:r w:rsidRPr="00C03731">
              <w:rPr>
                <w:rFonts w:cs="Arial"/>
                <w:color w:val="000000"/>
                <w:sz w:val="20"/>
              </w:rPr>
              <w:t xml:space="preserve">demonstrates value for money for the funding it receives </w:t>
            </w:r>
          </w:p>
        </w:tc>
        <w:tc>
          <w:tcPr>
            <w:tcW w:w="1021" w:type="dxa"/>
            <w:shd w:val="clear" w:color="auto" w:fill="auto"/>
            <w:vAlign w:val="bottom"/>
          </w:tcPr>
          <w:p w14:paraId="744DEB54" w14:textId="77777777" w:rsidR="00C03731" w:rsidRPr="00C03731" w:rsidRDefault="00C03731" w:rsidP="00C03731">
            <w:pPr>
              <w:jc w:val="right"/>
              <w:rPr>
                <w:rFonts w:cs="Arial"/>
                <w:sz w:val="20"/>
              </w:rPr>
            </w:pPr>
            <w:r w:rsidRPr="00C03731">
              <w:rPr>
                <w:rFonts w:cs="Arial"/>
                <w:sz w:val="20"/>
              </w:rPr>
              <w:t>43%</w:t>
            </w:r>
          </w:p>
        </w:tc>
        <w:tc>
          <w:tcPr>
            <w:tcW w:w="1134" w:type="dxa"/>
            <w:shd w:val="clear" w:color="auto" w:fill="auto"/>
            <w:vAlign w:val="bottom"/>
          </w:tcPr>
          <w:p w14:paraId="744DEB55" w14:textId="77777777" w:rsidR="00C03731" w:rsidRPr="00C03731" w:rsidRDefault="00C03731" w:rsidP="00C03731">
            <w:pPr>
              <w:jc w:val="right"/>
              <w:rPr>
                <w:rFonts w:cs="Arial"/>
                <w:sz w:val="20"/>
              </w:rPr>
            </w:pPr>
            <w:r w:rsidRPr="00C03731">
              <w:rPr>
                <w:rFonts w:cs="Arial"/>
                <w:sz w:val="20"/>
              </w:rPr>
              <w:t>53%</w:t>
            </w:r>
          </w:p>
        </w:tc>
        <w:tc>
          <w:tcPr>
            <w:tcW w:w="1134" w:type="dxa"/>
            <w:vAlign w:val="bottom"/>
          </w:tcPr>
          <w:p w14:paraId="744DEB56" w14:textId="77777777" w:rsidR="00C03731" w:rsidRPr="00C03731" w:rsidRDefault="00C03731" w:rsidP="00C03731">
            <w:pPr>
              <w:jc w:val="right"/>
              <w:rPr>
                <w:rFonts w:cs="Arial"/>
                <w:sz w:val="20"/>
              </w:rPr>
            </w:pPr>
            <w:r w:rsidRPr="00C03731">
              <w:rPr>
                <w:rFonts w:cs="Arial"/>
                <w:sz w:val="20"/>
              </w:rPr>
              <w:t>53%</w:t>
            </w:r>
          </w:p>
        </w:tc>
        <w:tc>
          <w:tcPr>
            <w:tcW w:w="1134" w:type="dxa"/>
            <w:vAlign w:val="bottom"/>
          </w:tcPr>
          <w:p w14:paraId="744DEB57" w14:textId="77777777" w:rsidR="00C03731" w:rsidRPr="00C03731" w:rsidRDefault="00C03731" w:rsidP="00C03731">
            <w:pPr>
              <w:jc w:val="right"/>
              <w:rPr>
                <w:rFonts w:cs="Arial"/>
                <w:b/>
                <w:sz w:val="20"/>
              </w:rPr>
            </w:pPr>
            <w:r w:rsidRPr="00C03731">
              <w:rPr>
                <w:rFonts w:cs="Arial"/>
                <w:b/>
                <w:sz w:val="20"/>
              </w:rPr>
              <w:t>56%</w:t>
            </w:r>
          </w:p>
        </w:tc>
        <w:tc>
          <w:tcPr>
            <w:tcW w:w="1134" w:type="dxa"/>
            <w:shd w:val="clear" w:color="auto" w:fill="auto"/>
            <w:vAlign w:val="bottom"/>
          </w:tcPr>
          <w:p w14:paraId="744DEB58" w14:textId="77777777" w:rsidR="00C03731" w:rsidRPr="00C03731" w:rsidRDefault="00C03731" w:rsidP="00C03731">
            <w:pPr>
              <w:jc w:val="right"/>
              <w:rPr>
                <w:rFonts w:cs="Arial"/>
                <w:b/>
                <w:sz w:val="20"/>
              </w:rPr>
            </w:pPr>
            <w:r w:rsidRPr="00C03731">
              <w:rPr>
                <w:rFonts w:cs="Arial"/>
                <w:b/>
                <w:sz w:val="20"/>
              </w:rPr>
              <w:t>+3%</w:t>
            </w:r>
          </w:p>
        </w:tc>
      </w:tr>
      <w:tr w:rsidR="00C03731" w:rsidRPr="00C03731" w14:paraId="744DEB60" w14:textId="77777777" w:rsidTr="00812E30">
        <w:trPr>
          <w:trHeight w:val="554"/>
        </w:trPr>
        <w:tc>
          <w:tcPr>
            <w:tcW w:w="3970" w:type="dxa"/>
            <w:shd w:val="clear" w:color="auto" w:fill="auto"/>
          </w:tcPr>
          <w:p w14:paraId="744DEB5A" w14:textId="77777777" w:rsidR="00C03731" w:rsidRPr="00C03731" w:rsidRDefault="00C03731" w:rsidP="00C03731">
            <w:pPr>
              <w:spacing w:before="100" w:beforeAutospacing="1" w:after="100" w:afterAutospacing="1"/>
              <w:ind w:right="60"/>
              <w:rPr>
                <w:rFonts w:cs="Arial"/>
                <w:sz w:val="20"/>
              </w:rPr>
            </w:pPr>
            <w:r w:rsidRPr="00C03731">
              <w:rPr>
                <w:rFonts w:cs="Arial"/>
                <w:sz w:val="20"/>
              </w:rPr>
              <w:t xml:space="preserve">The LGA </w:t>
            </w:r>
            <w:r w:rsidRPr="00C03731">
              <w:rPr>
                <w:rFonts w:cs="Arial"/>
                <w:color w:val="000000"/>
                <w:sz w:val="20"/>
              </w:rPr>
              <w:t xml:space="preserve">is influential in shaping the agenda for local government </w:t>
            </w:r>
          </w:p>
        </w:tc>
        <w:tc>
          <w:tcPr>
            <w:tcW w:w="1021" w:type="dxa"/>
            <w:shd w:val="clear" w:color="auto" w:fill="auto"/>
            <w:vAlign w:val="bottom"/>
          </w:tcPr>
          <w:p w14:paraId="744DEB5B" w14:textId="77777777" w:rsidR="00C03731" w:rsidRPr="00C03731" w:rsidRDefault="00C03731" w:rsidP="00C03731">
            <w:pPr>
              <w:jc w:val="right"/>
              <w:rPr>
                <w:rFonts w:cs="Arial"/>
                <w:sz w:val="20"/>
              </w:rPr>
            </w:pPr>
            <w:r w:rsidRPr="00C03731">
              <w:rPr>
                <w:rFonts w:cs="Arial"/>
                <w:sz w:val="20"/>
              </w:rPr>
              <w:t>62%</w:t>
            </w:r>
          </w:p>
        </w:tc>
        <w:tc>
          <w:tcPr>
            <w:tcW w:w="1134" w:type="dxa"/>
            <w:shd w:val="clear" w:color="auto" w:fill="auto"/>
            <w:vAlign w:val="bottom"/>
          </w:tcPr>
          <w:p w14:paraId="744DEB5C" w14:textId="77777777" w:rsidR="00C03731" w:rsidRPr="00C03731" w:rsidRDefault="00C03731" w:rsidP="00C03731">
            <w:pPr>
              <w:jc w:val="right"/>
              <w:rPr>
                <w:rFonts w:cs="Arial"/>
                <w:sz w:val="20"/>
              </w:rPr>
            </w:pPr>
            <w:r w:rsidRPr="00C03731">
              <w:rPr>
                <w:rFonts w:cs="Arial"/>
                <w:sz w:val="20"/>
              </w:rPr>
              <w:t>68%</w:t>
            </w:r>
          </w:p>
        </w:tc>
        <w:tc>
          <w:tcPr>
            <w:tcW w:w="1134" w:type="dxa"/>
            <w:vAlign w:val="bottom"/>
          </w:tcPr>
          <w:p w14:paraId="744DEB5D" w14:textId="77777777" w:rsidR="00C03731" w:rsidRPr="00C03731" w:rsidRDefault="00C03731" w:rsidP="00C03731">
            <w:pPr>
              <w:jc w:val="right"/>
              <w:rPr>
                <w:rFonts w:cs="Arial"/>
                <w:sz w:val="20"/>
              </w:rPr>
            </w:pPr>
            <w:r w:rsidRPr="00C03731">
              <w:rPr>
                <w:rFonts w:cs="Arial"/>
                <w:sz w:val="20"/>
              </w:rPr>
              <w:t>72%</w:t>
            </w:r>
          </w:p>
        </w:tc>
        <w:tc>
          <w:tcPr>
            <w:tcW w:w="1134" w:type="dxa"/>
            <w:vAlign w:val="bottom"/>
          </w:tcPr>
          <w:p w14:paraId="744DEB5E" w14:textId="77777777" w:rsidR="00C03731" w:rsidRPr="00C03731" w:rsidRDefault="00C03731" w:rsidP="00C03731">
            <w:pPr>
              <w:jc w:val="right"/>
              <w:rPr>
                <w:rFonts w:cs="Arial"/>
                <w:b/>
                <w:sz w:val="20"/>
              </w:rPr>
            </w:pPr>
            <w:r w:rsidRPr="00C03731">
              <w:rPr>
                <w:rFonts w:cs="Arial"/>
                <w:b/>
                <w:sz w:val="20"/>
              </w:rPr>
              <w:t>71%</w:t>
            </w:r>
          </w:p>
        </w:tc>
        <w:tc>
          <w:tcPr>
            <w:tcW w:w="1134" w:type="dxa"/>
            <w:shd w:val="clear" w:color="auto" w:fill="auto"/>
            <w:vAlign w:val="bottom"/>
          </w:tcPr>
          <w:p w14:paraId="744DEB5F" w14:textId="77777777" w:rsidR="00C03731" w:rsidRPr="00C03731" w:rsidRDefault="00C03731" w:rsidP="00C03731">
            <w:pPr>
              <w:jc w:val="right"/>
              <w:rPr>
                <w:rFonts w:cs="Arial"/>
                <w:b/>
                <w:sz w:val="20"/>
              </w:rPr>
            </w:pPr>
            <w:r w:rsidRPr="00C03731">
              <w:rPr>
                <w:rFonts w:cs="Arial"/>
                <w:b/>
                <w:sz w:val="20"/>
              </w:rPr>
              <w:t>-1%</w:t>
            </w:r>
          </w:p>
        </w:tc>
      </w:tr>
      <w:tr w:rsidR="00C03731" w:rsidRPr="00C03731" w14:paraId="744DEB67" w14:textId="77777777" w:rsidTr="00812E30">
        <w:trPr>
          <w:trHeight w:val="537"/>
        </w:trPr>
        <w:tc>
          <w:tcPr>
            <w:tcW w:w="3970" w:type="dxa"/>
            <w:shd w:val="clear" w:color="auto" w:fill="auto"/>
          </w:tcPr>
          <w:p w14:paraId="744DEB61" w14:textId="77777777" w:rsidR="00C03731" w:rsidRPr="00C03731" w:rsidRDefault="00C03731" w:rsidP="00C03731">
            <w:pPr>
              <w:spacing w:before="100" w:beforeAutospacing="1" w:after="100" w:afterAutospacing="1"/>
              <w:ind w:right="60"/>
              <w:rPr>
                <w:rFonts w:cs="Arial"/>
                <w:sz w:val="20"/>
              </w:rPr>
            </w:pPr>
            <w:r w:rsidRPr="00C03731">
              <w:rPr>
                <w:rFonts w:cs="Arial"/>
                <w:sz w:val="20"/>
              </w:rPr>
              <w:lastRenderedPageBreak/>
              <w:t>The LGA e</w:t>
            </w:r>
            <w:r w:rsidRPr="00C03731">
              <w:rPr>
                <w:rFonts w:cs="Arial"/>
                <w:color w:val="000000"/>
                <w:sz w:val="20"/>
              </w:rPr>
              <w:t xml:space="preserve">ffectively represents the views of its members to central government </w:t>
            </w:r>
          </w:p>
        </w:tc>
        <w:tc>
          <w:tcPr>
            <w:tcW w:w="1021" w:type="dxa"/>
            <w:shd w:val="clear" w:color="auto" w:fill="auto"/>
            <w:vAlign w:val="bottom"/>
          </w:tcPr>
          <w:p w14:paraId="744DEB62" w14:textId="77777777" w:rsidR="00C03731" w:rsidRPr="00C03731" w:rsidRDefault="00C03731" w:rsidP="00C03731">
            <w:pPr>
              <w:jc w:val="right"/>
              <w:rPr>
                <w:rFonts w:cs="Arial"/>
                <w:sz w:val="20"/>
              </w:rPr>
            </w:pPr>
            <w:r w:rsidRPr="00C03731">
              <w:rPr>
                <w:rFonts w:cs="Arial"/>
                <w:sz w:val="20"/>
              </w:rPr>
              <w:t>69%</w:t>
            </w:r>
          </w:p>
        </w:tc>
        <w:tc>
          <w:tcPr>
            <w:tcW w:w="1134" w:type="dxa"/>
            <w:shd w:val="clear" w:color="auto" w:fill="auto"/>
            <w:vAlign w:val="bottom"/>
          </w:tcPr>
          <w:p w14:paraId="744DEB63" w14:textId="77777777" w:rsidR="00C03731" w:rsidRPr="00C03731" w:rsidRDefault="00C03731" w:rsidP="00C03731">
            <w:pPr>
              <w:jc w:val="right"/>
              <w:rPr>
                <w:rFonts w:cs="Arial"/>
                <w:sz w:val="20"/>
              </w:rPr>
            </w:pPr>
            <w:r w:rsidRPr="00C03731">
              <w:rPr>
                <w:rFonts w:cs="Arial"/>
                <w:sz w:val="20"/>
              </w:rPr>
              <w:t>77%</w:t>
            </w:r>
          </w:p>
        </w:tc>
        <w:tc>
          <w:tcPr>
            <w:tcW w:w="1134" w:type="dxa"/>
            <w:vAlign w:val="bottom"/>
          </w:tcPr>
          <w:p w14:paraId="744DEB64" w14:textId="77777777" w:rsidR="00C03731" w:rsidRPr="00C03731" w:rsidRDefault="00C03731" w:rsidP="00C03731">
            <w:pPr>
              <w:jc w:val="right"/>
              <w:rPr>
                <w:rFonts w:cs="Arial"/>
                <w:sz w:val="20"/>
              </w:rPr>
            </w:pPr>
            <w:r w:rsidRPr="00C03731">
              <w:rPr>
                <w:rFonts w:cs="Arial"/>
                <w:sz w:val="20"/>
              </w:rPr>
              <w:t>78%</w:t>
            </w:r>
          </w:p>
        </w:tc>
        <w:tc>
          <w:tcPr>
            <w:tcW w:w="1134" w:type="dxa"/>
            <w:vAlign w:val="bottom"/>
          </w:tcPr>
          <w:p w14:paraId="744DEB65" w14:textId="77777777" w:rsidR="00C03731" w:rsidRPr="00C03731" w:rsidRDefault="00C03731" w:rsidP="00C03731">
            <w:pPr>
              <w:jc w:val="right"/>
              <w:rPr>
                <w:rFonts w:cs="Arial"/>
                <w:b/>
                <w:sz w:val="20"/>
              </w:rPr>
            </w:pPr>
            <w:r w:rsidRPr="00C03731">
              <w:rPr>
                <w:rFonts w:cs="Arial"/>
                <w:b/>
                <w:sz w:val="20"/>
              </w:rPr>
              <w:t>77%</w:t>
            </w:r>
          </w:p>
        </w:tc>
        <w:tc>
          <w:tcPr>
            <w:tcW w:w="1134" w:type="dxa"/>
            <w:shd w:val="clear" w:color="auto" w:fill="auto"/>
            <w:vAlign w:val="bottom"/>
          </w:tcPr>
          <w:p w14:paraId="744DEB66" w14:textId="77777777" w:rsidR="00C03731" w:rsidRPr="00C03731" w:rsidRDefault="00C03731" w:rsidP="00C03731">
            <w:pPr>
              <w:jc w:val="right"/>
              <w:rPr>
                <w:rFonts w:cs="Arial"/>
                <w:b/>
                <w:sz w:val="20"/>
              </w:rPr>
            </w:pPr>
            <w:r w:rsidRPr="00C03731">
              <w:rPr>
                <w:rFonts w:cs="Arial"/>
                <w:b/>
                <w:sz w:val="20"/>
              </w:rPr>
              <w:t>-1%</w:t>
            </w:r>
          </w:p>
        </w:tc>
      </w:tr>
      <w:tr w:rsidR="00C03731" w:rsidRPr="00C03731" w14:paraId="744DEB6E" w14:textId="77777777" w:rsidTr="00812E30">
        <w:trPr>
          <w:trHeight w:val="537"/>
        </w:trPr>
        <w:tc>
          <w:tcPr>
            <w:tcW w:w="3970" w:type="dxa"/>
            <w:shd w:val="clear" w:color="auto" w:fill="auto"/>
          </w:tcPr>
          <w:p w14:paraId="744DEB68" w14:textId="77777777" w:rsidR="00C03731" w:rsidRPr="00C03731" w:rsidRDefault="00C03731" w:rsidP="00C03731">
            <w:pPr>
              <w:spacing w:before="100" w:beforeAutospacing="1" w:after="100" w:afterAutospacing="1"/>
              <w:ind w:right="60"/>
              <w:rPr>
                <w:rFonts w:cs="Arial"/>
                <w:sz w:val="20"/>
              </w:rPr>
            </w:pPr>
            <w:r w:rsidRPr="00C03731">
              <w:rPr>
                <w:rFonts w:cs="Arial"/>
                <w:sz w:val="20"/>
              </w:rPr>
              <w:t>The LGA stands up for and defends the reputation of local government</w:t>
            </w:r>
          </w:p>
        </w:tc>
        <w:tc>
          <w:tcPr>
            <w:tcW w:w="1021" w:type="dxa"/>
            <w:shd w:val="clear" w:color="auto" w:fill="auto"/>
            <w:vAlign w:val="bottom"/>
          </w:tcPr>
          <w:p w14:paraId="744DEB69" w14:textId="77777777" w:rsidR="00C03731" w:rsidRPr="00C03731" w:rsidRDefault="00C03731" w:rsidP="00C03731">
            <w:pPr>
              <w:jc w:val="right"/>
              <w:rPr>
                <w:rFonts w:cs="Arial"/>
                <w:sz w:val="20"/>
              </w:rPr>
            </w:pPr>
            <w:r w:rsidRPr="00C03731">
              <w:rPr>
                <w:rFonts w:cs="Arial"/>
                <w:sz w:val="20"/>
              </w:rPr>
              <w:t>N/A</w:t>
            </w:r>
          </w:p>
        </w:tc>
        <w:tc>
          <w:tcPr>
            <w:tcW w:w="1134" w:type="dxa"/>
            <w:shd w:val="clear" w:color="auto" w:fill="auto"/>
            <w:vAlign w:val="bottom"/>
          </w:tcPr>
          <w:p w14:paraId="744DEB6A" w14:textId="77777777" w:rsidR="00C03731" w:rsidRPr="00C03731" w:rsidRDefault="00C03731" w:rsidP="00C03731">
            <w:pPr>
              <w:jc w:val="right"/>
              <w:rPr>
                <w:rFonts w:cs="Arial"/>
                <w:sz w:val="20"/>
              </w:rPr>
            </w:pPr>
            <w:r w:rsidRPr="00C03731">
              <w:rPr>
                <w:rFonts w:cs="Arial"/>
                <w:sz w:val="20"/>
              </w:rPr>
              <w:t>85%</w:t>
            </w:r>
          </w:p>
        </w:tc>
        <w:tc>
          <w:tcPr>
            <w:tcW w:w="1134" w:type="dxa"/>
            <w:vAlign w:val="bottom"/>
          </w:tcPr>
          <w:p w14:paraId="744DEB6B" w14:textId="77777777" w:rsidR="00C03731" w:rsidRPr="00C03731" w:rsidRDefault="00C03731" w:rsidP="00C03731">
            <w:pPr>
              <w:jc w:val="right"/>
              <w:rPr>
                <w:rFonts w:cs="Arial"/>
                <w:sz w:val="20"/>
              </w:rPr>
            </w:pPr>
            <w:r w:rsidRPr="00C03731">
              <w:rPr>
                <w:rFonts w:cs="Arial"/>
                <w:sz w:val="20"/>
              </w:rPr>
              <w:t>88%</w:t>
            </w:r>
          </w:p>
        </w:tc>
        <w:tc>
          <w:tcPr>
            <w:tcW w:w="1134" w:type="dxa"/>
            <w:vAlign w:val="bottom"/>
          </w:tcPr>
          <w:p w14:paraId="744DEB6C" w14:textId="77777777" w:rsidR="00C03731" w:rsidRPr="00C03731" w:rsidRDefault="00C03731" w:rsidP="00C03731">
            <w:pPr>
              <w:jc w:val="right"/>
              <w:rPr>
                <w:rFonts w:cs="Arial"/>
                <w:b/>
                <w:sz w:val="20"/>
              </w:rPr>
            </w:pPr>
            <w:r w:rsidRPr="00C03731">
              <w:rPr>
                <w:rFonts w:cs="Arial"/>
                <w:b/>
                <w:sz w:val="20"/>
              </w:rPr>
              <w:t>86%</w:t>
            </w:r>
          </w:p>
        </w:tc>
        <w:tc>
          <w:tcPr>
            <w:tcW w:w="1134" w:type="dxa"/>
            <w:shd w:val="clear" w:color="auto" w:fill="auto"/>
            <w:vAlign w:val="bottom"/>
          </w:tcPr>
          <w:p w14:paraId="744DEB6D" w14:textId="77777777" w:rsidR="00C03731" w:rsidRPr="00C03731" w:rsidRDefault="00C03731" w:rsidP="00C03731">
            <w:pPr>
              <w:jc w:val="right"/>
              <w:rPr>
                <w:rFonts w:cs="Arial"/>
                <w:b/>
                <w:sz w:val="20"/>
              </w:rPr>
            </w:pPr>
            <w:r w:rsidRPr="00C03731">
              <w:rPr>
                <w:rFonts w:cs="Arial"/>
                <w:b/>
                <w:sz w:val="20"/>
              </w:rPr>
              <w:t>-2%</w:t>
            </w:r>
          </w:p>
        </w:tc>
      </w:tr>
      <w:tr w:rsidR="00C03731" w:rsidRPr="00C03731" w14:paraId="744DEB75" w14:textId="77777777" w:rsidTr="00812E30">
        <w:trPr>
          <w:trHeight w:val="554"/>
        </w:trPr>
        <w:tc>
          <w:tcPr>
            <w:tcW w:w="3970" w:type="dxa"/>
            <w:shd w:val="clear" w:color="auto" w:fill="auto"/>
          </w:tcPr>
          <w:p w14:paraId="744DEB6F" w14:textId="77777777" w:rsidR="00C03731" w:rsidRPr="00C03731" w:rsidRDefault="00C03731" w:rsidP="00C03731">
            <w:pPr>
              <w:spacing w:before="100" w:beforeAutospacing="1" w:after="100" w:afterAutospacing="1"/>
              <w:ind w:right="60"/>
              <w:rPr>
                <w:rFonts w:cs="Arial"/>
                <w:sz w:val="20"/>
              </w:rPr>
            </w:pPr>
            <w:r w:rsidRPr="00C03731">
              <w:rPr>
                <w:rFonts w:cs="Arial"/>
                <w:sz w:val="20"/>
              </w:rPr>
              <w:t>The LGA addresses the issues that are important to councils,</w:t>
            </w:r>
          </w:p>
        </w:tc>
        <w:tc>
          <w:tcPr>
            <w:tcW w:w="1021" w:type="dxa"/>
            <w:shd w:val="clear" w:color="auto" w:fill="auto"/>
            <w:vAlign w:val="bottom"/>
          </w:tcPr>
          <w:p w14:paraId="744DEB70" w14:textId="77777777" w:rsidR="00C03731" w:rsidRPr="00C03731" w:rsidRDefault="00C03731" w:rsidP="00C03731">
            <w:pPr>
              <w:jc w:val="right"/>
              <w:rPr>
                <w:rFonts w:cs="Arial"/>
                <w:sz w:val="20"/>
              </w:rPr>
            </w:pPr>
            <w:r w:rsidRPr="00C03731">
              <w:rPr>
                <w:rFonts w:cs="Arial"/>
                <w:sz w:val="20"/>
              </w:rPr>
              <w:t>79%</w:t>
            </w:r>
          </w:p>
        </w:tc>
        <w:tc>
          <w:tcPr>
            <w:tcW w:w="1134" w:type="dxa"/>
            <w:shd w:val="clear" w:color="auto" w:fill="auto"/>
            <w:vAlign w:val="bottom"/>
          </w:tcPr>
          <w:p w14:paraId="744DEB71" w14:textId="77777777" w:rsidR="00C03731" w:rsidRPr="00C03731" w:rsidRDefault="00C03731" w:rsidP="00C03731">
            <w:pPr>
              <w:jc w:val="right"/>
              <w:rPr>
                <w:rFonts w:cs="Arial"/>
                <w:sz w:val="20"/>
              </w:rPr>
            </w:pPr>
            <w:r w:rsidRPr="00C03731">
              <w:rPr>
                <w:rFonts w:cs="Arial"/>
                <w:sz w:val="20"/>
              </w:rPr>
              <w:t>83%</w:t>
            </w:r>
          </w:p>
        </w:tc>
        <w:tc>
          <w:tcPr>
            <w:tcW w:w="1134" w:type="dxa"/>
            <w:vAlign w:val="bottom"/>
          </w:tcPr>
          <w:p w14:paraId="744DEB72" w14:textId="77777777" w:rsidR="00C03731" w:rsidRPr="00C03731" w:rsidRDefault="00C03731" w:rsidP="00C03731">
            <w:pPr>
              <w:jc w:val="right"/>
              <w:rPr>
                <w:rFonts w:cs="Arial"/>
                <w:sz w:val="20"/>
              </w:rPr>
            </w:pPr>
            <w:r w:rsidRPr="00C03731">
              <w:rPr>
                <w:rFonts w:cs="Arial"/>
                <w:sz w:val="20"/>
              </w:rPr>
              <w:t>84%</w:t>
            </w:r>
          </w:p>
        </w:tc>
        <w:tc>
          <w:tcPr>
            <w:tcW w:w="1134" w:type="dxa"/>
            <w:vAlign w:val="bottom"/>
          </w:tcPr>
          <w:p w14:paraId="744DEB73" w14:textId="77777777" w:rsidR="00C03731" w:rsidRPr="00C03731" w:rsidRDefault="00C03731" w:rsidP="00C03731">
            <w:pPr>
              <w:jc w:val="right"/>
              <w:rPr>
                <w:rFonts w:cs="Arial"/>
                <w:b/>
                <w:sz w:val="20"/>
              </w:rPr>
            </w:pPr>
            <w:r w:rsidRPr="00C03731">
              <w:rPr>
                <w:rFonts w:cs="Arial"/>
                <w:b/>
                <w:sz w:val="20"/>
              </w:rPr>
              <w:t>86%</w:t>
            </w:r>
          </w:p>
        </w:tc>
        <w:tc>
          <w:tcPr>
            <w:tcW w:w="1134" w:type="dxa"/>
            <w:shd w:val="clear" w:color="auto" w:fill="auto"/>
            <w:vAlign w:val="bottom"/>
          </w:tcPr>
          <w:p w14:paraId="744DEB74" w14:textId="77777777" w:rsidR="00C03731" w:rsidRPr="00C03731" w:rsidRDefault="00C03731" w:rsidP="00C03731">
            <w:pPr>
              <w:jc w:val="right"/>
              <w:rPr>
                <w:rFonts w:cs="Arial"/>
                <w:b/>
                <w:sz w:val="20"/>
              </w:rPr>
            </w:pPr>
            <w:r w:rsidRPr="00C03731">
              <w:rPr>
                <w:rFonts w:cs="Arial"/>
                <w:b/>
                <w:sz w:val="20"/>
              </w:rPr>
              <w:t>+2%</w:t>
            </w:r>
          </w:p>
        </w:tc>
      </w:tr>
      <w:tr w:rsidR="00C03731" w:rsidRPr="00C03731" w14:paraId="744DEB7C" w14:textId="77777777" w:rsidTr="00812E30">
        <w:trPr>
          <w:trHeight w:val="261"/>
        </w:trPr>
        <w:tc>
          <w:tcPr>
            <w:tcW w:w="3970" w:type="dxa"/>
            <w:shd w:val="clear" w:color="auto" w:fill="auto"/>
          </w:tcPr>
          <w:p w14:paraId="744DEB76" w14:textId="77777777" w:rsidR="00C03731" w:rsidRPr="00C03731" w:rsidRDefault="00C03731" w:rsidP="00C03731">
            <w:pPr>
              <w:spacing w:before="100" w:beforeAutospacing="1" w:after="100" w:afterAutospacing="1"/>
              <w:ind w:right="60"/>
              <w:rPr>
                <w:rFonts w:cs="Arial"/>
                <w:sz w:val="20"/>
              </w:rPr>
            </w:pPr>
            <w:r w:rsidRPr="00C03731">
              <w:rPr>
                <w:rFonts w:cs="Arial"/>
                <w:sz w:val="20"/>
              </w:rPr>
              <w:t xml:space="preserve">The LGA is </w:t>
            </w:r>
            <w:r w:rsidRPr="00C03731">
              <w:rPr>
                <w:rFonts w:cs="Arial"/>
                <w:color w:val="000000"/>
                <w:sz w:val="20"/>
              </w:rPr>
              <w:t xml:space="preserve">transparent and accountable to its members </w:t>
            </w:r>
          </w:p>
        </w:tc>
        <w:tc>
          <w:tcPr>
            <w:tcW w:w="1021" w:type="dxa"/>
            <w:shd w:val="clear" w:color="auto" w:fill="auto"/>
            <w:vAlign w:val="bottom"/>
          </w:tcPr>
          <w:p w14:paraId="744DEB77" w14:textId="77777777" w:rsidR="00C03731" w:rsidRPr="00C03731" w:rsidRDefault="00C03731" w:rsidP="00C03731">
            <w:pPr>
              <w:jc w:val="right"/>
              <w:rPr>
                <w:rFonts w:cs="Arial"/>
                <w:sz w:val="20"/>
              </w:rPr>
            </w:pPr>
            <w:r w:rsidRPr="00C03731">
              <w:rPr>
                <w:rFonts w:cs="Arial"/>
                <w:sz w:val="20"/>
              </w:rPr>
              <w:t>58%</w:t>
            </w:r>
          </w:p>
        </w:tc>
        <w:tc>
          <w:tcPr>
            <w:tcW w:w="1134" w:type="dxa"/>
            <w:shd w:val="clear" w:color="auto" w:fill="auto"/>
            <w:vAlign w:val="bottom"/>
          </w:tcPr>
          <w:p w14:paraId="744DEB78" w14:textId="77777777" w:rsidR="00C03731" w:rsidRPr="00C03731" w:rsidRDefault="00C03731" w:rsidP="00C03731">
            <w:pPr>
              <w:jc w:val="right"/>
              <w:rPr>
                <w:rFonts w:cs="Arial"/>
                <w:sz w:val="20"/>
              </w:rPr>
            </w:pPr>
            <w:r w:rsidRPr="00C03731">
              <w:rPr>
                <w:rFonts w:cs="Arial"/>
                <w:sz w:val="20"/>
              </w:rPr>
              <w:t>66%</w:t>
            </w:r>
          </w:p>
        </w:tc>
        <w:tc>
          <w:tcPr>
            <w:tcW w:w="1134" w:type="dxa"/>
            <w:vAlign w:val="bottom"/>
          </w:tcPr>
          <w:p w14:paraId="744DEB79" w14:textId="77777777" w:rsidR="00C03731" w:rsidRPr="00C03731" w:rsidRDefault="00C03731" w:rsidP="00C03731">
            <w:pPr>
              <w:jc w:val="right"/>
              <w:rPr>
                <w:rFonts w:cs="Arial"/>
                <w:sz w:val="20"/>
              </w:rPr>
            </w:pPr>
            <w:r w:rsidRPr="00C03731">
              <w:rPr>
                <w:rFonts w:cs="Arial"/>
                <w:sz w:val="20"/>
              </w:rPr>
              <w:t>67%</w:t>
            </w:r>
          </w:p>
        </w:tc>
        <w:tc>
          <w:tcPr>
            <w:tcW w:w="1134" w:type="dxa"/>
            <w:vAlign w:val="bottom"/>
          </w:tcPr>
          <w:p w14:paraId="744DEB7A" w14:textId="77777777" w:rsidR="00C03731" w:rsidRPr="00C03731" w:rsidRDefault="00C03731" w:rsidP="00C03731">
            <w:pPr>
              <w:jc w:val="right"/>
              <w:rPr>
                <w:rFonts w:cs="Arial"/>
                <w:b/>
                <w:sz w:val="20"/>
              </w:rPr>
            </w:pPr>
            <w:r w:rsidRPr="00C03731">
              <w:rPr>
                <w:rFonts w:cs="Arial"/>
                <w:b/>
                <w:sz w:val="20"/>
              </w:rPr>
              <w:t>69%</w:t>
            </w:r>
          </w:p>
        </w:tc>
        <w:tc>
          <w:tcPr>
            <w:tcW w:w="1134" w:type="dxa"/>
            <w:shd w:val="clear" w:color="auto" w:fill="auto"/>
            <w:vAlign w:val="bottom"/>
          </w:tcPr>
          <w:p w14:paraId="744DEB7B" w14:textId="77777777" w:rsidR="00C03731" w:rsidRPr="00C03731" w:rsidRDefault="00C03731" w:rsidP="00C03731">
            <w:pPr>
              <w:jc w:val="right"/>
              <w:rPr>
                <w:rFonts w:cs="Arial"/>
                <w:b/>
                <w:sz w:val="20"/>
              </w:rPr>
            </w:pPr>
            <w:r w:rsidRPr="00C03731">
              <w:rPr>
                <w:rFonts w:cs="Arial"/>
                <w:b/>
                <w:sz w:val="20"/>
              </w:rPr>
              <w:t>+2%</w:t>
            </w:r>
          </w:p>
        </w:tc>
      </w:tr>
      <w:tr w:rsidR="00C03731" w:rsidRPr="00C03731" w14:paraId="744DEB83" w14:textId="77777777" w:rsidTr="00812E30">
        <w:trPr>
          <w:trHeight w:val="554"/>
        </w:trPr>
        <w:tc>
          <w:tcPr>
            <w:tcW w:w="3970" w:type="dxa"/>
            <w:shd w:val="clear" w:color="auto" w:fill="auto"/>
          </w:tcPr>
          <w:p w14:paraId="744DEB7D" w14:textId="77777777" w:rsidR="00C03731" w:rsidRPr="00C03731" w:rsidRDefault="00C03731" w:rsidP="00C03731">
            <w:pPr>
              <w:spacing w:before="100" w:beforeAutospacing="1" w:after="100" w:afterAutospacing="1"/>
              <w:ind w:right="60"/>
              <w:rPr>
                <w:rFonts w:cs="Arial"/>
                <w:sz w:val="20"/>
              </w:rPr>
            </w:pPr>
            <w:r w:rsidRPr="00C03731">
              <w:rPr>
                <w:rFonts w:cs="Arial"/>
                <w:sz w:val="20"/>
              </w:rPr>
              <w:t xml:space="preserve">The LGA </w:t>
            </w:r>
            <w:r w:rsidRPr="00C03731">
              <w:rPr>
                <w:rFonts w:cs="Arial"/>
                <w:color w:val="000000"/>
                <w:sz w:val="20"/>
              </w:rPr>
              <w:t xml:space="preserve">understands what councils need to help them improve their services and organisational capacity </w:t>
            </w:r>
          </w:p>
        </w:tc>
        <w:tc>
          <w:tcPr>
            <w:tcW w:w="1021" w:type="dxa"/>
            <w:shd w:val="clear" w:color="auto" w:fill="auto"/>
            <w:vAlign w:val="bottom"/>
          </w:tcPr>
          <w:p w14:paraId="744DEB7E" w14:textId="77777777" w:rsidR="00C03731" w:rsidRPr="00C03731" w:rsidRDefault="00C03731" w:rsidP="00C03731">
            <w:pPr>
              <w:jc w:val="right"/>
              <w:rPr>
                <w:rFonts w:cs="Arial"/>
                <w:sz w:val="20"/>
              </w:rPr>
            </w:pPr>
            <w:r w:rsidRPr="00C03731">
              <w:rPr>
                <w:rFonts w:cs="Arial"/>
                <w:sz w:val="20"/>
              </w:rPr>
              <w:t>68%</w:t>
            </w:r>
          </w:p>
        </w:tc>
        <w:tc>
          <w:tcPr>
            <w:tcW w:w="1134" w:type="dxa"/>
            <w:shd w:val="clear" w:color="auto" w:fill="auto"/>
            <w:vAlign w:val="bottom"/>
          </w:tcPr>
          <w:p w14:paraId="744DEB7F" w14:textId="77777777" w:rsidR="00C03731" w:rsidRPr="00C03731" w:rsidRDefault="00C03731" w:rsidP="00C03731">
            <w:pPr>
              <w:jc w:val="right"/>
              <w:rPr>
                <w:rFonts w:cs="Arial"/>
                <w:sz w:val="20"/>
              </w:rPr>
            </w:pPr>
            <w:r w:rsidRPr="00C03731">
              <w:rPr>
                <w:rFonts w:cs="Arial"/>
                <w:sz w:val="20"/>
              </w:rPr>
              <w:t>77%</w:t>
            </w:r>
          </w:p>
        </w:tc>
        <w:tc>
          <w:tcPr>
            <w:tcW w:w="1134" w:type="dxa"/>
            <w:vAlign w:val="bottom"/>
          </w:tcPr>
          <w:p w14:paraId="744DEB80" w14:textId="77777777" w:rsidR="00C03731" w:rsidRPr="00C03731" w:rsidRDefault="00C03731" w:rsidP="00C03731">
            <w:pPr>
              <w:jc w:val="right"/>
              <w:rPr>
                <w:rFonts w:cs="Arial"/>
                <w:sz w:val="20"/>
              </w:rPr>
            </w:pPr>
            <w:r w:rsidRPr="00C03731">
              <w:rPr>
                <w:rFonts w:cs="Arial"/>
                <w:sz w:val="20"/>
              </w:rPr>
              <w:t>78%</w:t>
            </w:r>
          </w:p>
        </w:tc>
        <w:tc>
          <w:tcPr>
            <w:tcW w:w="1134" w:type="dxa"/>
            <w:vAlign w:val="bottom"/>
          </w:tcPr>
          <w:p w14:paraId="744DEB81" w14:textId="77777777" w:rsidR="00C03731" w:rsidRPr="00C03731" w:rsidRDefault="00C03731" w:rsidP="00C03731">
            <w:pPr>
              <w:jc w:val="right"/>
              <w:rPr>
                <w:rFonts w:cs="Arial"/>
                <w:b/>
                <w:sz w:val="20"/>
              </w:rPr>
            </w:pPr>
            <w:r w:rsidRPr="00C03731">
              <w:rPr>
                <w:rFonts w:cs="Arial"/>
                <w:b/>
                <w:sz w:val="20"/>
              </w:rPr>
              <w:t>81%</w:t>
            </w:r>
          </w:p>
        </w:tc>
        <w:tc>
          <w:tcPr>
            <w:tcW w:w="1134" w:type="dxa"/>
            <w:shd w:val="clear" w:color="auto" w:fill="auto"/>
            <w:vAlign w:val="bottom"/>
          </w:tcPr>
          <w:p w14:paraId="744DEB82" w14:textId="77777777" w:rsidR="00C03731" w:rsidRPr="00C03731" w:rsidRDefault="00C03731" w:rsidP="00C03731">
            <w:pPr>
              <w:jc w:val="right"/>
              <w:rPr>
                <w:rFonts w:cs="Arial"/>
                <w:b/>
                <w:sz w:val="20"/>
              </w:rPr>
            </w:pPr>
            <w:r w:rsidRPr="00C03731">
              <w:rPr>
                <w:rFonts w:cs="Arial"/>
                <w:b/>
                <w:sz w:val="20"/>
              </w:rPr>
              <w:t>+3%</w:t>
            </w:r>
          </w:p>
        </w:tc>
      </w:tr>
      <w:tr w:rsidR="00C03731" w:rsidRPr="00C03731" w14:paraId="744DEB8A" w14:textId="77777777" w:rsidTr="00812E30">
        <w:trPr>
          <w:trHeight w:val="277"/>
        </w:trPr>
        <w:tc>
          <w:tcPr>
            <w:tcW w:w="3970" w:type="dxa"/>
            <w:shd w:val="clear" w:color="auto" w:fill="auto"/>
          </w:tcPr>
          <w:p w14:paraId="744DEB84" w14:textId="77777777" w:rsidR="00C03731" w:rsidRPr="00C03731" w:rsidRDefault="00C03731" w:rsidP="00C03731">
            <w:pPr>
              <w:rPr>
                <w:rFonts w:cs="Arial"/>
                <w:sz w:val="20"/>
              </w:rPr>
            </w:pPr>
            <w:r w:rsidRPr="00C03731">
              <w:rPr>
                <w:rFonts w:cs="Arial"/>
                <w:sz w:val="20"/>
              </w:rPr>
              <w:t>How well informed do you feel about the work of the LGA</w:t>
            </w:r>
          </w:p>
        </w:tc>
        <w:tc>
          <w:tcPr>
            <w:tcW w:w="1021" w:type="dxa"/>
            <w:shd w:val="clear" w:color="auto" w:fill="auto"/>
            <w:vAlign w:val="bottom"/>
          </w:tcPr>
          <w:p w14:paraId="744DEB85" w14:textId="77777777" w:rsidR="00C03731" w:rsidRPr="00C03731" w:rsidRDefault="00C03731" w:rsidP="00C03731">
            <w:pPr>
              <w:jc w:val="right"/>
              <w:rPr>
                <w:rFonts w:cs="Arial"/>
                <w:sz w:val="20"/>
              </w:rPr>
            </w:pPr>
            <w:r w:rsidRPr="00C03731">
              <w:rPr>
                <w:rFonts w:cs="Arial"/>
                <w:sz w:val="20"/>
              </w:rPr>
              <w:t>69%</w:t>
            </w:r>
          </w:p>
        </w:tc>
        <w:tc>
          <w:tcPr>
            <w:tcW w:w="1134" w:type="dxa"/>
            <w:shd w:val="clear" w:color="auto" w:fill="auto"/>
            <w:vAlign w:val="bottom"/>
          </w:tcPr>
          <w:p w14:paraId="744DEB86" w14:textId="77777777" w:rsidR="00C03731" w:rsidRPr="00C03731" w:rsidRDefault="00C03731" w:rsidP="00C03731">
            <w:pPr>
              <w:jc w:val="right"/>
              <w:rPr>
                <w:rFonts w:cs="Arial"/>
                <w:sz w:val="20"/>
              </w:rPr>
            </w:pPr>
            <w:r w:rsidRPr="00C03731">
              <w:rPr>
                <w:rFonts w:cs="Arial"/>
                <w:sz w:val="20"/>
              </w:rPr>
              <w:t>77%</w:t>
            </w:r>
          </w:p>
        </w:tc>
        <w:tc>
          <w:tcPr>
            <w:tcW w:w="1134" w:type="dxa"/>
            <w:vAlign w:val="bottom"/>
          </w:tcPr>
          <w:p w14:paraId="744DEB87" w14:textId="77777777" w:rsidR="00C03731" w:rsidRPr="00C03731" w:rsidRDefault="00C03731" w:rsidP="00C03731">
            <w:pPr>
              <w:jc w:val="right"/>
              <w:rPr>
                <w:rFonts w:cs="Arial"/>
                <w:sz w:val="20"/>
              </w:rPr>
            </w:pPr>
            <w:r w:rsidRPr="00C03731">
              <w:rPr>
                <w:rFonts w:cs="Arial"/>
                <w:sz w:val="20"/>
              </w:rPr>
              <w:t>79%</w:t>
            </w:r>
          </w:p>
        </w:tc>
        <w:tc>
          <w:tcPr>
            <w:tcW w:w="1134" w:type="dxa"/>
            <w:vAlign w:val="bottom"/>
          </w:tcPr>
          <w:p w14:paraId="744DEB88" w14:textId="77777777" w:rsidR="00C03731" w:rsidRPr="00C03731" w:rsidRDefault="00C03731" w:rsidP="00C03731">
            <w:pPr>
              <w:jc w:val="right"/>
              <w:rPr>
                <w:rFonts w:cs="Arial"/>
                <w:b/>
                <w:sz w:val="20"/>
              </w:rPr>
            </w:pPr>
            <w:r w:rsidRPr="00C03731">
              <w:rPr>
                <w:rFonts w:cs="Arial"/>
                <w:b/>
                <w:sz w:val="20"/>
              </w:rPr>
              <w:t>83%</w:t>
            </w:r>
          </w:p>
        </w:tc>
        <w:tc>
          <w:tcPr>
            <w:tcW w:w="1134" w:type="dxa"/>
            <w:shd w:val="clear" w:color="auto" w:fill="auto"/>
            <w:vAlign w:val="bottom"/>
          </w:tcPr>
          <w:p w14:paraId="744DEB89" w14:textId="77777777" w:rsidR="00C03731" w:rsidRPr="00C03731" w:rsidRDefault="00C03731" w:rsidP="00C03731">
            <w:pPr>
              <w:jc w:val="right"/>
              <w:rPr>
                <w:rFonts w:cs="Arial"/>
                <w:b/>
                <w:sz w:val="20"/>
              </w:rPr>
            </w:pPr>
            <w:r w:rsidRPr="00C03731">
              <w:rPr>
                <w:rFonts w:cs="Arial"/>
                <w:b/>
                <w:sz w:val="20"/>
              </w:rPr>
              <w:t>+4%</w:t>
            </w:r>
          </w:p>
        </w:tc>
      </w:tr>
    </w:tbl>
    <w:p w14:paraId="744DEB8B" w14:textId="77777777" w:rsidR="00C03731" w:rsidRDefault="00C03731" w:rsidP="00AD031E">
      <w:pPr>
        <w:rPr>
          <w:rFonts w:cs="Arial"/>
          <w:sz w:val="22"/>
          <w:szCs w:val="22"/>
        </w:rPr>
      </w:pPr>
    </w:p>
    <w:p w14:paraId="744DEB8C" w14:textId="77777777" w:rsidR="00AD031E" w:rsidRPr="00DC654B" w:rsidRDefault="00AD031E" w:rsidP="00FE796F">
      <w:pPr>
        <w:pStyle w:val="ListParagraph"/>
        <w:numPr>
          <w:ilvl w:val="0"/>
          <w:numId w:val="8"/>
        </w:numPr>
        <w:spacing w:before="0" w:after="0" w:line="240" w:lineRule="auto"/>
        <w:ind w:left="357"/>
        <w:rPr>
          <w:rFonts w:cs="Arial"/>
          <w:sz w:val="22"/>
        </w:rPr>
      </w:pPr>
      <w:r w:rsidRPr="00DC654B">
        <w:rPr>
          <w:rFonts w:cs="Arial"/>
          <w:sz w:val="22"/>
        </w:rPr>
        <w:t xml:space="preserve">There continues to be a high level of satisfaction with the work we undertake </w:t>
      </w:r>
      <w:r w:rsidR="00B61D2E" w:rsidRPr="00DC654B">
        <w:rPr>
          <w:rFonts w:cs="Arial"/>
          <w:sz w:val="22"/>
        </w:rPr>
        <w:t xml:space="preserve">on behalf of local government </w:t>
      </w:r>
      <w:r w:rsidRPr="00DC654B">
        <w:rPr>
          <w:rFonts w:cs="Arial"/>
          <w:b/>
          <w:sz w:val="22"/>
        </w:rPr>
        <w:t>(</w:t>
      </w:r>
      <w:r w:rsidR="00737A40" w:rsidRPr="00DC654B">
        <w:rPr>
          <w:rFonts w:cs="Arial"/>
          <w:b/>
          <w:sz w:val="22"/>
        </w:rPr>
        <w:t>7</w:t>
      </w:r>
      <w:r w:rsidR="00DC654B">
        <w:rPr>
          <w:rFonts w:cs="Arial"/>
          <w:b/>
          <w:sz w:val="22"/>
        </w:rPr>
        <w:t>6</w:t>
      </w:r>
      <w:r w:rsidR="00737A40" w:rsidRPr="00DC654B">
        <w:rPr>
          <w:rFonts w:cs="Arial"/>
          <w:b/>
          <w:sz w:val="22"/>
        </w:rPr>
        <w:t xml:space="preserve"> </w:t>
      </w:r>
      <w:r w:rsidRPr="00DC654B">
        <w:rPr>
          <w:rFonts w:cs="Arial"/>
          <w:b/>
          <w:sz w:val="22"/>
        </w:rPr>
        <w:t>per cent)</w:t>
      </w:r>
      <w:r w:rsidR="002B0086" w:rsidRPr="00DC654B">
        <w:rPr>
          <w:rFonts w:cs="Arial"/>
          <w:b/>
          <w:sz w:val="22"/>
        </w:rPr>
        <w:t xml:space="preserve"> </w:t>
      </w:r>
      <w:r w:rsidR="002B0086" w:rsidRPr="00DC654B">
        <w:rPr>
          <w:rFonts w:cs="Arial"/>
          <w:sz w:val="22"/>
        </w:rPr>
        <w:t xml:space="preserve">and </w:t>
      </w:r>
      <w:r w:rsidRPr="00DC654B">
        <w:rPr>
          <w:rFonts w:cs="Arial"/>
          <w:sz w:val="22"/>
        </w:rPr>
        <w:t>a high proportion of respondents</w:t>
      </w:r>
      <w:r w:rsidR="00E5388C" w:rsidRPr="00DC654B">
        <w:rPr>
          <w:rFonts w:cs="Arial"/>
          <w:sz w:val="22"/>
        </w:rPr>
        <w:t xml:space="preserve"> </w:t>
      </w:r>
      <w:r w:rsidRPr="00DC654B">
        <w:rPr>
          <w:rFonts w:cs="Arial"/>
          <w:b/>
          <w:sz w:val="22"/>
        </w:rPr>
        <w:t>(7</w:t>
      </w:r>
      <w:r w:rsidR="00DC654B">
        <w:rPr>
          <w:rFonts w:cs="Arial"/>
          <w:b/>
          <w:sz w:val="22"/>
        </w:rPr>
        <w:t>4</w:t>
      </w:r>
      <w:r w:rsidRPr="00DC654B">
        <w:rPr>
          <w:rFonts w:cs="Arial"/>
          <w:b/>
          <w:sz w:val="22"/>
        </w:rPr>
        <w:t xml:space="preserve"> per cent)</w:t>
      </w:r>
      <w:r w:rsidRPr="00DC654B">
        <w:rPr>
          <w:rFonts w:cs="Arial"/>
          <w:sz w:val="22"/>
        </w:rPr>
        <w:t xml:space="preserve"> </w:t>
      </w:r>
      <w:r w:rsidR="002B0086" w:rsidRPr="00DC654B">
        <w:rPr>
          <w:rFonts w:cs="Arial"/>
          <w:sz w:val="22"/>
        </w:rPr>
        <w:t xml:space="preserve">continue to say they </w:t>
      </w:r>
      <w:r w:rsidRPr="00DC654B">
        <w:rPr>
          <w:rFonts w:cs="Arial"/>
          <w:sz w:val="22"/>
        </w:rPr>
        <w:t>would speak positively about the LGA.</w:t>
      </w:r>
    </w:p>
    <w:p w14:paraId="744DEB8D" w14:textId="77777777" w:rsidR="00DB45E5" w:rsidRPr="00DC654B" w:rsidRDefault="00DB45E5" w:rsidP="00FE796F">
      <w:pPr>
        <w:rPr>
          <w:rFonts w:cs="Arial"/>
          <w:sz w:val="22"/>
          <w:szCs w:val="22"/>
        </w:rPr>
      </w:pPr>
    </w:p>
    <w:p w14:paraId="744DEB8E" w14:textId="77777777" w:rsidR="00AD031E" w:rsidRPr="00DC654B" w:rsidRDefault="00AD031E" w:rsidP="00FE796F">
      <w:pPr>
        <w:pStyle w:val="ListParagraph"/>
        <w:numPr>
          <w:ilvl w:val="0"/>
          <w:numId w:val="8"/>
        </w:numPr>
        <w:spacing w:before="0" w:after="0" w:line="240" w:lineRule="auto"/>
        <w:ind w:left="357"/>
        <w:rPr>
          <w:rFonts w:cs="Arial"/>
          <w:sz w:val="22"/>
        </w:rPr>
      </w:pPr>
      <w:r w:rsidRPr="00DC654B">
        <w:rPr>
          <w:rFonts w:cs="Arial"/>
          <w:sz w:val="22"/>
        </w:rPr>
        <w:t>In terms of advocacy for the sector, the majority of respondents (</w:t>
      </w:r>
      <w:r w:rsidR="00D4450E" w:rsidRPr="00DC654B">
        <w:rPr>
          <w:rFonts w:cs="Arial"/>
          <w:b/>
          <w:sz w:val="22"/>
        </w:rPr>
        <w:t>8</w:t>
      </w:r>
      <w:r w:rsidR="00DC654B">
        <w:rPr>
          <w:rFonts w:cs="Arial"/>
          <w:b/>
          <w:sz w:val="22"/>
        </w:rPr>
        <w:t>5</w:t>
      </w:r>
      <w:r w:rsidR="00D4450E" w:rsidRPr="00DC654B">
        <w:rPr>
          <w:rFonts w:cs="Arial"/>
          <w:b/>
          <w:sz w:val="22"/>
        </w:rPr>
        <w:t xml:space="preserve"> </w:t>
      </w:r>
      <w:r w:rsidRPr="00DC654B">
        <w:rPr>
          <w:rFonts w:cs="Arial"/>
          <w:b/>
          <w:sz w:val="22"/>
        </w:rPr>
        <w:t>per cent)</w:t>
      </w:r>
      <w:r w:rsidRPr="00DC654B">
        <w:rPr>
          <w:rFonts w:cs="Arial"/>
          <w:sz w:val="22"/>
        </w:rPr>
        <w:t xml:space="preserve"> </w:t>
      </w:r>
      <w:r w:rsidR="00C2671D" w:rsidRPr="00DC654B">
        <w:rPr>
          <w:rFonts w:cs="Arial"/>
          <w:sz w:val="22"/>
        </w:rPr>
        <w:t xml:space="preserve">continue to </w:t>
      </w:r>
      <w:r w:rsidRPr="00DC654B">
        <w:rPr>
          <w:rFonts w:cs="Arial"/>
          <w:sz w:val="22"/>
        </w:rPr>
        <w:t>believe we are an effective advocate for the sector</w:t>
      </w:r>
      <w:r w:rsidR="00A131C4">
        <w:rPr>
          <w:rFonts w:cs="Arial"/>
          <w:sz w:val="22"/>
        </w:rPr>
        <w:t xml:space="preserve">; </w:t>
      </w:r>
      <w:r w:rsidR="00DC654B">
        <w:rPr>
          <w:rFonts w:cs="Arial"/>
          <w:sz w:val="22"/>
        </w:rPr>
        <w:t xml:space="preserve">with those responding </w:t>
      </w:r>
      <w:r w:rsidR="00A131C4">
        <w:rPr>
          <w:rFonts w:cs="Arial"/>
          <w:sz w:val="22"/>
        </w:rPr>
        <w:t>‘</w:t>
      </w:r>
      <w:r w:rsidR="00DC654B">
        <w:rPr>
          <w:rFonts w:cs="Arial"/>
          <w:sz w:val="22"/>
        </w:rPr>
        <w:t xml:space="preserve">a great </w:t>
      </w:r>
      <w:r w:rsidR="00A131C4">
        <w:rPr>
          <w:rFonts w:cs="Arial"/>
          <w:sz w:val="22"/>
        </w:rPr>
        <w:t xml:space="preserve">deal’ </w:t>
      </w:r>
      <w:r w:rsidR="00DC654B">
        <w:rPr>
          <w:rFonts w:cs="Arial"/>
          <w:sz w:val="22"/>
        </w:rPr>
        <w:t>significantly increasing from 23</w:t>
      </w:r>
      <w:r w:rsidR="00A131C4">
        <w:rPr>
          <w:rFonts w:cs="Arial"/>
          <w:sz w:val="22"/>
        </w:rPr>
        <w:t xml:space="preserve"> per cent in 2014</w:t>
      </w:r>
      <w:r w:rsidR="00DC654B">
        <w:rPr>
          <w:rFonts w:cs="Arial"/>
          <w:sz w:val="22"/>
        </w:rPr>
        <w:t xml:space="preserve"> to 28</w:t>
      </w:r>
      <w:r w:rsidR="00A131C4">
        <w:rPr>
          <w:rFonts w:cs="Arial"/>
          <w:sz w:val="22"/>
        </w:rPr>
        <w:t xml:space="preserve"> per cent in </w:t>
      </w:r>
      <w:r w:rsidR="00375926">
        <w:rPr>
          <w:rFonts w:cs="Arial"/>
          <w:sz w:val="22"/>
        </w:rPr>
        <w:t>2015</w:t>
      </w:r>
      <w:r w:rsidRPr="00DC654B">
        <w:rPr>
          <w:rFonts w:cs="Arial"/>
          <w:sz w:val="22"/>
        </w:rPr>
        <w:t>.</w:t>
      </w:r>
    </w:p>
    <w:p w14:paraId="744DEB8F" w14:textId="77777777" w:rsidR="003C68D7" w:rsidRPr="00DC654B" w:rsidRDefault="003C68D7" w:rsidP="00AD031E">
      <w:pPr>
        <w:rPr>
          <w:rFonts w:cs="Arial"/>
          <w:sz w:val="22"/>
          <w:szCs w:val="22"/>
        </w:rPr>
      </w:pPr>
    </w:p>
    <w:p w14:paraId="0483870F" w14:textId="77777777" w:rsidR="002F6E0E" w:rsidRDefault="00DC654B" w:rsidP="002F6E0E">
      <w:pPr>
        <w:pStyle w:val="ListParagraph"/>
        <w:numPr>
          <w:ilvl w:val="0"/>
          <w:numId w:val="8"/>
        </w:numPr>
        <w:spacing w:before="0" w:after="0" w:line="240" w:lineRule="auto"/>
        <w:ind w:left="357"/>
        <w:rPr>
          <w:rFonts w:cs="Arial"/>
          <w:sz w:val="22"/>
        </w:rPr>
      </w:pPr>
      <w:r w:rsidRPr="00DC654B">
        <w:rPr>
          <w:rFonts w:cs="Arial"/>
          <w:sz w:val="22"/>
        </w:rPr>
        <w:t>Respondents rated the following activities as ‘</w:t>
      </w:r>
      <w:r w:rsidRPr="00DC654B">
        <w:rPr>
          <w:rFonts w:cs="Arial"/>
          <w:i/>
          <w:sz w:val="22"/>
        </w:rPr>
        <w:t xml:space="preserve">very or fairly </w:t>
      </w:r>
      <w:r>
        <w:rPr>
          <w:rFonts w:cs="Arial"/>
          <w:i/>
          <w:sz w:val="22"/>
        </w:rPr>
        <w:t>useful</w:t>
      </w:r>
      <w:r w:rsidRPr="00DC654B">
        <w:rPr>
          <w:rFonts w:cs="Arial"/>
          <w:sz w:val="22"/>
        </w:rPr>
        <w:t xml:space="preserve">’:  </w:t>
      </w:r>
    </w:p>
    <w:p w14:paraId="06A83CB4" w14:textId="77777777" w:rsidR="002F6E0E" w:rsidRPr="002F6E0E" w:rsidRDefault="002F6E0E" w:rsidP="002F6E0E">
      <w:pPr>
        <w:pStyle w:val="ListParagraph"/>
        <w:numPr>
          <w:ilvl w:val="0"/>
          <w:numId w:val="0"/>
        </w:numPr>
        <w:ind w:left="360"/>
        <w:rPr>
          <w:rFonts w:cs="Arial"/>
          <w:sz w:val="22"/>
        </w:rPr>
      </w:pPr>
    </w:p>
    <w:p w14:paraId="47F86DD0" w14:textId="2B717260" w:rsidR="002F6E0E" w:rsidRDefault="00DC654B" w:rsidP="002F6E0E">
      <w:pPr>
        <w:pStyle w:val="ListParagraph"/>
        <w:numPr>
          <w:ilvl w:val="1"/>
          <w:numId w:val="8"/>
        </w:numPr>
        <w:spacing w:before="0" w:after="0" w:line="240" w:lineRule="auto"/>
        <w:rPr>
          <w:rFonts w:cs="Arial"/>
          <w:sz w:val="22"/>
        </w:rPr>
      </w:pPr>
      <w:r w:rsidRPr="002F6E0E">
        <w:rPr>
          <w:rFonts w:cs="Arial"/>
          <w:sz w:val="22"/>
        </w:rPr>
        <w:t xml:space="preserve">Providing up-to-date information about local government </w:t>
      </w:r>
      <w:r w:rsidRPr="002F6E0E">
        <w:rPr>
          <w:rFonts w:cs="Arial"/>
          <w:b/>
          <w:sz w:val="22"/>
        </w:rPr>
        <w:t>(93 per cent)</w:t>
      </w:r>
      <w:r w:rsidR="00B259F5" w:rsidRPr="002F6E0E">
        <w:rPr>
          <w:rFonts w:cs="Arial"/>
          <w:sz w:val="22"/>
        </w:rPr>
        <w:t xml:space="preserve"> – a significant increase </w:t>
      </w:r>
      <w:r w:rsidR="00A131C4" w:rsidRPr="002F6E0E">
        <w:rPr>
          <w:rFonts w:cs="Arial"/>
          <w:sz w:val="22"/>
        </w:rPr>
        <w:t xml:space="preserve">from 88 per cent in </w:t>
      </w:r>
      <w:r w:rsidR="00B259F5" w:rsidRPr="002F6E0E">
        <w:rPr>
          <w:rFonts w:cs="Arial"/>
          <w:sz w:val="22"/>
        </w:rPr>
        <w:t>2014</w:t>
      </w:r>
    </w:p>
    <w:p w14:paraId="2D7E8617" w14:textId="3A3DA4C4" w:rsidR="002F6E0E" w:rsidRPr="002F6E0E" w:rsidRDefault="00DC654B" w:rsidP="002F6E0E">
      <w:pPr>
        <w:pStyle w:val="ListParagraph"/>
        <w:numPr>
          <w:ilvl w:val="1"/>
          <w:numId w:val="8"/>
        </w:numPr>
        <w:spacing w:before="0" w:after="0" w:line="240" w:lineRule="auto"/>
        <w:rPr>
          <w:rFonts w:cs="Arial"/>
          <w:sz w:val="22"/>
        </w:rPr>
      </w:pPr>
      <w:r w:rsidRPr="002F6E0E">
        <w:rPr>
          <w:rFonts w:cs="Arial"/>
          <w:sz w:val="22"/>
        </w:rPr>
        <w:t xml:space="preserve">Lobbying on behalf of local government </w:t>
      </w:r>
      <w:r w:rsidRPr="002F6E0E">
        <w:rPr>
          <w:rFonts w:cs="Arial"/>
          <w:b/>
          <w:sz w:val="22"/>
        </w:rPr>
        <w:t>(90 per cent)</w:t>
      </w:r>
    </w:p>
    <w:p w14:paraId="744DEB93" w14:textId="69EAF6E5" w:rsidR="00DC654B" w:rsidRPr="002F6E0E" w:rsidRDefault="00DC654B" w:rsidP="002F6E0E">
      <w:pPr>
        <w:pStyle w:val="ListParagraph"/>
        <w:numPr>
          <w:ilvl w:val="1"/>
          <w:numId w:val="8"/>
        </w:numPr>
        <w:spacing w:before="0" w:after="0" w:line="240" w:lineRule="auto"/>
        <w:rPr>
          <w:rFonts w:cs="Arial"/>
          <w:sz w:val="22"/>
        </w:rPr>
      </w:pPr>
      <w:r w:rsidRPr="002F6E0E">
        <w:rPr>
          <w:rFonts w:cs="Arial"/>
          <w:sz w:val="22"/>
        </w:rPr>
        <w:t xml:space="preserve">Providing a single voice for local government </w:t>
      </w:r>
      <w:r w:rsidRPr="002F6E0E">
        <w:rPr>
          <w:rFonts w:cs="Arial"/>
          <w:b/>
          <w:sz w:val="22"/>
        </w:rPr>
        <w:t>(</w:t>
      </w:r>
      <w:r w:rsidR="00A131C4" w:rsidRPr="002F6E0E">
        <w:rPr>
          <w:rFonts w:cs="Arial"/>
          <w:b/>
          <w:sz w:val="22"/>
        </w:rPr>
        <w:t xml:space="preserve">88 </w:t>
      </w:r>
      <w:r w:rsidRPr="002F6E0E">
        <w:rPr>
          <w:rFonts w:cs="Arial"/>
          <w:b/>
          <w:sz w:val="22"/>
        </w:rPr>
        <w:t>per cent)</w:t>
      </w:r>
    </w:p>
    <w:p w14:paraId="485B4042" w14:textId="77777777" w:rsidR="002F6E0E" w:rsidRPr="002F6E0E" w:rsidRDefault="00DC654B" w:rsidP="002F6E0E">
      <w:pPr>
        <w:pStyle w:val="ListParagraph"/>
        <w:numPr>
          <w:ilvl w:val="1"/>
          <w:numId w:val="8"/>
        </w:numPr>
        <w:spacing w:before="0" w:after="0" w:line="240" w:lineRule="auto"/>
        <w:rPr>
          <w:rFonts w:cs="Arial"/>
          <w:sz w:val="22"/>
        </w:rPr>
      </w:pPr>
      <w:r w:rsidRPr="00DC654B">
        <w:rPr>
          <w:rFonts w:cs="Arial"/>
          <w:sz w:val="22"/>
        </w:rPr>
        <w:t xml:space="preserve">Providing support </w:t>
      </w:r>
      <w:r>
        <w:rPr>
          <w:rFonts w:cs="Arial"/>
          <w:sz w:val="22"/>
        </w:rPr>
        <w:t>for sector led improvement</w:t>
      </w:r>
      <w:r w:rsidRPr="00DC654B">
        <w:rPr>
          <w:rFonts w:cs="Arial"/>
          <w:sz w:val="22"/>
        </w:rPr>
        <w:t xml:space="preserve"> </w:t>
      </w:r>
      <w:r w:rsidRPr="00DC654B">
        <w:rPr>
          <w:rFonts w:cs="Arial"/>
          <w:b/>
          <w:sz w:val="22"/>
        </w:rPr>
        <w:t>(</w:t>
      </w:r>
      <w:r>
        <w:rPr>
          <w:rFonts w:cs="Arial"/>
          <w:b/>
          <w:sz w:val="22"/>
        </w:rPr>
        <w:t>85</w:t>
      </w:r>
      <w:r w:rsidRPr="00DC654B">
        <w:rPr>
          <w:rFonts w:cs="Arial"/>
          <w:b/>
          <w:sz w:val="22"/>
        </w:rPr>
        <w:t xml:space="preserve"> per cent)</w:t>
      </w:r>
    </w:p>
    <w:p w14:paraId="744DEB95" w14:textId="6FBD11AB" w:rsidR="00DC654B" w:rsidRPr="002F6E0E" w:rsidRDefault="00DC654B" w:rsidP="002F6E0E">
      <w:pPr>
        <w:pStyle w:val="ListParagraph"/>
        <w:numPr>
          <w:ilvl w:val="1"/>
          <w:numId w:val="8"/>
        </w:numPr>
        <w:spacing w:before="0" w:after="0" w:line="240" w:lineRule="auto"/>
        <w:rPr>
          <w:rFonts w:cs="Arial"/>
          <w:sz w:val="22"/>
        </w:rPr>
      </w:pPr>
      <w:r w:rsidRPr="002F6E0E">
        <w:rPr>
          <w:rFonts w:cs="Arial"/>
          <w:sz w:val="22"/>
        </w:rPr>
        <w:t xml:space="preserve">Providing conferences and events </w:t>
      </w:r>
      <w:r w:rsidRPr="002F6E0E">
        <w:rPr>
          <w:rFonts w:cs="Arial"/>
          <w:b/>
          <w:sz w:val="22"/>
        </w:rPr>
        <w:t>(85 per cent)</w:t>
      </w:r>
      <w:r w:rsidR="00B259F5" w:rsidRPr="002F6E0E">
        <w:rPr>
          <w:rFonts w:cs="Arial"/>
          <w:sz w:val="22"/>
        </w:rPr>
        <w:t xml:space="preserve"> – a significant increase </w:t>
      </w:r>
      <w:r w:rsidR="00A131C4" w:rsidRPr="002F6E0E">
        <w:rPr>
          <w:rFonts w:cs="Arial"/>
          <w:sz w:val="22"/>
        </w:rPr>
        <w:t>from 77 per cent in</w:t>
      </w:r>
      <w:r w:rsidR="00B259F5" w:rsidRPr="002F6E0E">
        <w:rPr>
          <w:rFonts w:cs="Arial"/>
          <w:sz w:val="22"/>
        </w:rPr>
        <w:t xml:space="preserve"> 2014</w:t>
      </w:r>
    </w:p>
    <w:p w14:paraId="744DEB96" w14:textId="77777777" w:rsidR="00DC654B" w:rsidRPr="00DC654B" w:rsidRDefault="00DC654B" w:rsidP="00AD031E">
      <w:pPr>
        <w:rPr>
          <w:rFonts w:cs="Arial"/>
          <w:b/>
          <w:sz w:val="22"/>
          <w:szCs w:val="22"/>
        </w:rPr>
      </w:pPr>
    </w:p>
    <w:p w14:paraId="744DEB97" w14:textId="77777777" w:rsidR="00B259F5" w:rsidRPr="00DC654B" w:rsidRDefault="00F65893" w:rsidP="002F6E0E">
      <w:pPr>
        <w:pStyle w:val="ListParagraph"/>
        <w:numPr>
          <w:ilvl w:val="0"/>
          <w:numId w:val="8"/>
        </w:numPr>
        <w:spacing w:before="0" w:after="0" w:line="240" w:lineRule="auto"/>
        <w:ind w:left="357"/>
        <w:rPr>
          <w:rFonts w:cs="Arial"/>
          <w:sz w:val="22"/>
        </w:rPr>
      </w:pPr>
      <w:r w:rsidRPr="00DC654B">
        <w:rPr>
          <w:rFonts w:cs="Arial"/>
          <w:sz w:val="22"/>
        </w:rPr>
        <w:t xml:space="preserve">There are some regional variations in responses to individual questions but across the full range of questions the findings are fairly consistent in all parts of the country.  </w:t>
      </w:r>
      <w:r w:rsidR="004E7216">
        <w:rPr>
          <w:rFonts w:cs="Arial"/>
          <w:sz w:val="22"/>
        </w:rPr>
        <w:t>By role, o</w:t>
      </w:r>
      <w:r w:rsidR="00B259F5">
        <w:rPr>
          <w:rFonts w:cs="Arial"/>
          <w:sz w:val="22"/>
        </w:rPr>
        <w:t xml:space="preserve">fficers are most likely to find LGA activities to be useful. </w:t>
      </w:r>
    </w:p>
    <w:p w14:paraId="744DEB9A" w14:textId="77777777" w:rsidR="00375926" w:rsidRDefault="00375926" w:rsidP="00F65893">
      <w:pPr>
        <w:rPr>
          <w:rFonts w:cs="Arial"/>
          <w:b/>
          <w:color w:val="000000" w:themeColor="text1"/>
          <w:sz w:val="22"/>
          <w:szCs w:val="22"/>
        </w:rPr>
      </w:pPr>
    </w:p>
    <w:p w14:paraId="744DEB9B" w14:textId="77777777" w:rsidR="00AD031E" w:rsidRDefault="009B1852" w:rsidP="00AD031E">
      <w:pPr>
        <w:rPr>
          <w:rFonts w:cs="Arial"/>
          <w:b/>
          <w:sz w:val="22"/>
          <w:szCs w:val="22"/>
        </w:rPr>
      </w:pPr>
      <w:r w:rsidRPr="001F7103">
        <w:rPr>
          <w:rFonts w:cs="Arial"/>
          <w:b/>
          <w:sz w:val="22"/>
          <w:szCs w:val="22"/>
        </w:rPr>
        <w:t>Sector-led improvement</w:t>
      </w:r>
    </w:p>
    <w:p w14:paraId="4AB54FE7" w14:textId="77777777" w:rsidR="00ED7C31" w:rsidRPr="001F7103" w:rsidRDefault="00ED7C31" w:rsidP="00AD031E">
      <w:pPr>
        <w:rPr>
          <w:rFonts w:cs="Arial"/>
          <w:b/>
          <w:sz w:val="22"/>
          <w:szCs w:val="22"/>
        </w:rPr>
      </w:pPr>
    </w:p>
    <w:p w14:paraId="744DEB9C" w14:textId="77777777" w:rsidR="00B702BC" w:rsidRPr="001F7103" w:rsidRDefault="00B702BC" w:rsidP="00ED7C31">
      <w:pPr>
        <w:pStyle w:val="ListParagraph"/>
        <w:numPr>
          <w:ilvl w:val="0"/>
          <w:numId w:val="8"/>
        </w:numPr>
        <w:spacing w:before="0" w:after="0" w:line="240" w:lineRule="auto"/>
        <w:ind w:left="357"/>
        <w:rPr>
          <w:rFonts w:cs="Arial"/>
          <w:sz w:val="22"/>
        </w:rPr>
      </w:pPr>
      <w:r w:rsidRPr="001F7103">
        <w:rPr>
          <w:rFonts w:cs="Arial"/>
          <w:sz w:val="22"/>
        </w:rPr>
        <w:t xml:space="preserve">There continues to be some variations in awareness of our sector-led improvement offer, </w:t>
      </w:r>
      <w:r w:rsidR="00B141B0">
        <w:rPr>
          <w:rFonts w:cs="Arial"/>
          <w:sz w:val="22"/>
        </w:rPr>
        <w:t xml:space="preserve">which is understandable when thinking about the commissioners of this work.  </w:t>
      </w:r>
      <w:r w:rsidR="00000973">
        <w:rPr>
          <w:rFonts w:cs="Arial"/>
          <w:sz w:val="22"/>
        </w:rPr>
        <w:t xml:space="preserve">However, our focus on promotion of our sector-led improvement offer has had some impact.  </w:t>
      </w:r>
      <w:r w:rsidR="00B141B0">
        <w:rPr>
          <w:rFonts w:cs="Arial"/>
          <w:sz w:val="22"/>
        </w:rPr>
        <w:t>W</w:t>
      </w:r>
      <w:r w:rsidRPr="001F7103">
        <w:rPr>
          <w:rFonts w:cs="Arial"/>
          <w:sz w:val="22"/>
        </w:rPr>
        <w:t xml:space="preserve">hilst on average </w:t>
      </w:r>
      <w:r w:rsidR="001F7103">
        <w:rPr>
          <w:rFonts w:cs="Arial"/>
          <w:b/>
          <w:sz w:val="22"/>
        </w:rPr>
        <w:t>51</w:t>
      </w:r>
      <w:r w:rsidR="001F7103" w:rsidRPr="001F7103">
        <w:rPr>
          <w:rFonts w:cs="Arial"/>
          <w:b/>
          <w:sz w:val="22"/>
        </w:rPr>
        <w:t xml:space="preserve"> </w:t>
      </w:r>
      <w:r w:rsidRPr="001F7103">
        <w:rPr>
          <w:rFonts w:cs="Arial"/>
          <w:b/>
          <w:sz w:val="22"/>
        </w:rPr>
        <w:t>per cent</w:t>
      </w:r>
      <w:r w:rsidRPr="001F7103">
        <w:rPr>
          <w:rFonts w:cs="Arial"/>
          <w:sz w:val="22"/>
        </w:rPr>
        <w:t xml:space="preserve"> have heard about sector-led improvement</w:t>
      </w:r>
      <w:r w:rsidR="00000973">
        <w:rPr>
          <w:rFonts w:cs="Arial"/>
          <w:sz w:val="22"/>
        </w:rPr>
        <w:t xml:space="preserve"> (a significant </w:t>
      </w:r>
      <w:r w:rsidR="00000973" w:rsidRPr="00ED7C31">
        <w:rPr>
          <w:rFonts w:cs="Arial"/>
          <w:sz w:val="22"/>
        </w:rPr>
        <w:t>increase</w:t>
      </w:r>
      <w:r w:rsidR="00000973">
        <w:rPr>
          <w:rFonts w:cs="Arial"/>
          <w:sz w:val="22"/>
        </w:rPr>
        <w:t xml:space="preserve"> from 42 </w:t>
      </w:r>
      <w:r w:rsidRPr="001F7103">
        <w:rPr>
          <w:rFonts w:cs="Arial"/>
          <w:sz w:val="22"/>
        </w:rPr>
        <w:t>per cent</w:t>
      </w:r>
      <w:r w:rsidR="00000973">
        <w:rPr>
          <w:rFonts w:cs="Arial"/>
          <w:sz w:val="22"/>
        </w:rPr>
        <w:t xml:space="preserve"> last year</w:t>
      </w:r>
      <w:r w:rsidRPr="001F7103">
        <w:rPr>
          <w:rFonts w:cs="Arial"/>
          <w:sz w:val="22"/>
        </w:rPr>
        <w:t>)</w:t>
      </w:r>
      <w:r w:rsidR="004E7216">
        <w:rPr>
          <w:rFonts w:cs="Arial"/>
          <w:sz w:val="22"/>
        </w:rPr>
        <w:t>,</w:t>
      </w:r>
      <w:r w:rsidR="00B61D2E" w:rsidRPr="001F7103">
        <w:rPr>
          <w:rFonts w:cs="Arial"/>
          <w:sz w:val="22"/>
        </w:rPr>
        <w:t xml:space="preserve"> </w:t>
      </w:r>
      <w:r w:rsidR="004E7216">
        <w:rPr>
          <w:rFonts w:cs="Arial"/>
          <w:b/>
          <w:sz w:val="22"/>
        </w:rPr>
        <w:t>n</w:t>
      </w:r>
      <w:r w:rsidR="001F7103">
        <w:rPr>
          <w:rFonts w:cs="Arial"/>
          <w:b/>
          <w:sz w:val="22"/>
        </w:rPr>
        <w:t>inety</w:t>
      </w:r>
      <w:r w:rsidR="001F7103" w:rsidRPr="001F7103">
        <w:rPr>
          <w:rFonts w:cs="Arial"/>
          <w:b/>
          <w:sz w:val="22"/>
        </w:rPr>
        <w:t xml:space="preserve"> </w:t>
      </w:r>
      <w:r w:rsidR="00B61D2E" w:rsidRPr="001F7103">
        <w:rPr>
          <w:rFonts w:cs="Arial"/>
          <w:b/>
          <w:sz w:val="22"/>
        </w:rPr>
        <w:t xml:space="preserve">three </w:t>
      </w:r>
      <w:r w:rsidR="00B61D2E" w:rsidRPr="00E43E9D">
        <w:rPr>
          <w:rFonts w:cs="Arial"/>
          <w:b/>
          <w:sz w:val="22"/>
        </w:rPr>
        <w:t>per cent</w:t>
      </w:r>
      <w:r w:rsidRPr="001F7103">
        <w:rPr>
          <w:rFonts w:cs="Arial"/>
          <w:b/>
          <w:sz w:val="22"/>
        </w:rPr>
        <w:t xml:space="preserve"> </w:t>
      </w:r>
      <w:r w:rsidRPr="001F7103">
        <w:rPr>
          <w:rFonts w:cs="Arial"/>
          <w:sz w:val="22"/>
        </w:rPr>
        <w:t xml:space="preserve">of </w:t>
      </w:r>
      <w:r w:rsidRPr="001F7103">
        <w:rPr>
          <w:rFonts w:cs="Arial"/>
          <w:b/>
          <w:sz w:val="22"/>
        </w:rPr>
        <w:t>chief executives</w:t>
      </w:r>
      <w:r w:rsidRPr="001F7103">
        <w:rPr>
          <w:rFonts w:cs="Arial"/>
          <w:sz w:val="22"/>
        </w:rPr>
        <w:t xml:space="preserve"> have heard </w:t>
      </w:r>
      <w:r w:rsidR="00A259B1" w:rsidRPr="001F7103">
        <w:rPr>
          <w:rFonts w:cs="Arial"/>
          <w:sz w:val="22"/>
        </w:rPr>
        <w:t xml:space="preserve">a lot/moderate amount </w:t>
      </w:r>
      <w:r w:rsidRPr="001F7103">
        <w:rPr>
          <w:rFonts w:cs="Arial"/>
          <w:sz w:val="22"/>
        </w:rPr>
        <w:t>about it</w:t>
      </w:r>
      <w:r w:rsidR="001F7103">
        <w:rPr>
          <w:rFonts w:cs="Arial"/>
          <w:sz w:val="22"/>
        </w:rPr>
        <w:t xml:space="preserve"> (</w:t>
      </w:r>
      <w:r w:rsidR="00FD0624">
        <w:rPr>
          <w:rFonts w:cs="Arial"/>
          <w:sz w:val="22"/>
        </w:rPr>
        <w:t>significantly higher than</w:t>
      </w:r>
      <w:r w:rsidR="001F7103">
        <w:rPr>
          <w:rFonts w:cs="Arial"/>
          <w:sz w:val="22"/>
        </w:rPr>
        <w:t xml:space="preserve"> 83 per cent in 2014)</w:t>
      </w:r>
      <w:r w:rsidRPr="001F7103">
        <w:rPr>
          <w:rFonts w:cs="Arial"/>
          <w:sz w:val="22"/>
        </w:rPr>
        <w:t xml:space="preserve">.  </w:t>
      </w:r>
    </w:p>
    <w:p w14:paraId="744DEB9D" w14:textId="77777777" w:rsidR="00B702BC" w:rsidRPr="001F7103" w:rsidRDefault="00B702BC" w:rsidP="00B702BC">
      <w:pPr>
        <w:rPr>
          <w:rFonts w:cs="Arial"/>
          <w:sz w:val="22"/>
          <w:szCs w:val="22"/>
        </w:rPr>
      </w:pPr>
    </w:p>
    <w:p w14:paraId="744DEB9E" w14:textId="77777777" w:rsidR="00B702BC" w:rsidRPr="001F7103" w:rsidRDefault="00B61D2E" w:rsidP="00ED7C31">
      <w:pPr>
        <w:pStyle w:val="ListParagraph"/>
        <w:numPr>
          <w:ilvl w:val="0"/>
          <w:numId w:val="8"/>
        </w:numPr>
        <w:spacing w:before="0" w:after="0" w:line="240" w:lineRule="auto"/>
        <w:ind w:left="357"/>
        <w:rPr>
          <w:rFonts w:cs="Arial"/>
          <w:sz w:val="22"/>
        </w:rPr>
      </w:pPr>
      <w:r w:rsidRPr="001F7103">
        <w:rPr>
          <w:rFonts w:cs="Arial"/>
          <w:sz w:val="22"/>
        </w:rPr>
        <w:t xml:space="preserve">The number of </w:t>
      </w:r>
      <w:r w:rsidR="00B702BC" w:rsidRPr="001F7103">
        <w:rPr>
          <w:rFonts w:cs="Arial"/>
          <w:sz w:val="22"/>
        </w:rPr>
        <w:t>officers</w:t>
      </w:r>
      <w:r w:rsidR="00D17705" w:rsidRPr="001F7103">
        <w:rPr>
          <w:rFonts w:cs="Arial"/>
          <w:sz w:val="22"/>
        </w:rPr>
        <w:t xml:space="preserve"> who have </w:t>
      </w:r>
      <w:r w:rsidR="00505ACB" w:rsidRPr="001F7103">
        <w:rPr>
          <w:rFonts w:cs="Arial"/>
          <w:sz w:val="22"/>
        </w:rPr>
        <w:t>‘</w:t>
      </w:r>
      <w:r w:rsidR="00D17705" w:rsidRPr="001F7103">
        <w:rPr>
          <w:rFonts w:cs="Arial"/>
          <w:sz w:val="22"/>
        </w:rPr>
        <w:t>heard a lot</w:t>
      </w:r>
      <w:r w:rsidR="00505ACB" w:rsidRPr="001F7103">
        <w:rPr>
          <w:rFonts w:cs="Arial"/>
          <w:sz w:val="22"/>
        </w:rPr>
        <w:t>’</w:t>
      </w:r>
      <w:r w:rsidR="00D17705" w:rsidRPr="001F7103">
        <w:rPr>
          <w:rFonts w:cs="Arial"/>
          <w:sz w:val="22"/>
        </w:rPr>
        <w:t xml:space="preserve"> about</w:t>
      </w:r>
      <w:r w:rsidR="007829A6" w:rsidRPr="001F7103">
        <w:rPr>
          <w:rFonts w:cs="Arial"/>
          <w:sz w:val="22"/>
        </w:rPr>
        <w:t xml:space="preserve"> sector-led improvement </w:t>
      </w:r>
      <w:r w:rsidR="00696CCA">
        <w:rPr>
          <w:rFonts w:cs="Arial"/>
          <w:sz w:val="22"/>
        </w:rPr>
        <w:t xml:space="preserve">stands at </w:t>
      </w:r>
      <w:r w:rsidR="00696CCA" w:rsidRPr="00E43E9D">
        <w:rPr>
          <w:rFonts w:cs="Arial"/>
          <w:b/>
          <w:sz w:val="22"/>
        </w:rPr>
        <w:t>49 per cent</w:t>
      </w:r>
      <w:r w:rsidRPr="001F7103">
        <w:rPr>
          <w:rFonts w:cs="Arial"/>
          <w:b/>
          <w:sz w:val="22"/>
        </w:rPr>
        <w:t xml:space="preserve">.  </w:t>
      </w:r>
      <w:r w:rsidRPr="001F7103">
        <w:rPr>
          <w:rFonts w:cs="Arial"/>
          <w:sz w:val="22"/>
        </w:rPr>
        <w:t>H</w:t>
      </w:r>
      <w:r w:rsidR="007829A6" w:rsidRPr="001F7103">
        <w:rPr>
          <w:rFonts w:cs="Arial"/>
          <w:sz w:val="22"/>
        </w:rPr>
        <w:t>owever</w:t>
      </w:r>
      <w:r w:rsidRPr="001F7103">
        <w:rPr>
          <w:rFonts w:cs="Arial"/>
          <w:sz w:val="22"/>
        </w:rPr>
        <w:t>,</w:t>
      </w:r>
      <w:r w:rsidR="007829A6" w:rsidRPr="001F7103">
        <w:rPr>
          <w:rFonts w:cs="Arial"/>
          <w:sz w:val="22"/>
        </w:rPr>
        <w:t xml:space="preserve"> </w:t>
      </w:r>
      <w:r w:rsidR="008E7BE3">
        <w:rPr>
          <w:rFonts w:cs="Arial"/>
          <w:sz w:val="22"/>
        </w:rPr>
        <w:t>front-line</w:t>
      </w:r>
      <w:r w:rsidRPr="001F7103">
        <w:rPr>
          <w:rFonts w:cs="Arial"/>
          <w:sz w:val="22"/>
        </w:rPr>
        <w:t xml:space="preserve"> councillors are</w:t>
      </w:r>
      <w:r w:rsidR="007829A6" w:rsidRPr="001F7103">
        <w:rPr>
          <w:rFonts w:cs="Arial"/>
          <w:sz w:val="22"/>
        </w:rPr>
        <w:t xml:space="preserve"> </w:t>
      </w:r>
      <w:r w:rsidR="00B702BC" w:rsidRPr="001F7103">
        <w:rPr>
          <w:rFonts w:cs="Arial"/>
          <w:sz w:val="22"/>
        </w:rPr>
        <w:t>still the most likely group to know ‘little or nothing’ about sector-led improvement (</w:t>
      </w:r>
      <w:r w:rsidR="00696CCA">
        <w:rPr>
          <w:rFonts w:cs="Arial"/>
          <w:b/>
          <w:sz w:val="22"/>
        </w:rPr>
        <w:t>66</w:t>
      </w:r>
      <w:r w:rsidR="00696CCA" w:rsidRPr="001F7103">
        <w:rPr>
          <w:rFonts w:cs="Arial"/>
          <w:b/>
          <w:sz w:val="22"/>
        </w:rPr>
        <w:t xml:space="preserve"> </w:t>
      </w:r>
      <w:r w:rsidR="00B702BC" w:rsidRPr="001F7103">
        <w:rPr>
          <w:rFonts w:cs="Arial"/>
          <w:b/>
          <w:sz w:val="22"/>
        </w:rPr>
        <w:t>per cent</w:t>
      </w:r>
      <w:r w:rsidR="00B702BC" w:rsidRPr="001F7103">
        <w:rPr>
          <w:rFonts w:cs="Arial"/>
          <w:sz w:val="22"/>
        </w:rPr>
        <w:t>).</w:t>
      </w:r>
    </w:p>
    <w:p w14:paraId="744DEB9F" w14:textId="77777777" w:rsidR="00B61D2E" w:rsidRPr="001F7103" w:rsidRDefault="00B61D2E" w:rsidP="00AD031E">
      <w:pPr>
        <w:rPr>
          <w:rFonts w:cs="Arial"/>
          <w:sz w:val="22"/>
          <w:szCs w:val="22"/>
        </w:rPr>
      </w:pPr>
    </w:p>
    <w:p w14:paraId="744DEBA0" w14:textId="77777777" w:rsidR="00B61D2E" w:rsidRPr="001F7103" w:rsidRDefault="00696CCA" w:rsidP="00ED7C31">
      <w:pPr>
        <w:pStyle w:val="ListParagraph"/>
        <w:numPr>
          <w:ilvl w:val="0"/>
          <w:numId w:val="8"/>
        </w:numPr>
        <w:spacing w:before="0" w:after="0" w:line="240" w:lineRule="auto"/>
        <w:ind w:left="357"/>
        <w:rPr>
          <w:rFonts w:cs="Arial"/>
          <w:sz w:val="22"/>
        </w:rPr>
      </w:pPr>
      <w:r>
        <w:rPr>
          <w:rFonts w:cs="Arial"/>
          <w:sz w:val="22"/>
        </w:rPr>
        <w:t>Nearly three quarters</w:t>
      </w:r>
      <w:r w:rsidR="009B1852" w:rsidRPr="001F7103">
        <w:rPr>
          <w:rFonts w:cs="Arial"/>
          <w:sz w:val="22"/>
        </w:rPr>
        <w:t xml:space="preserve"> (</w:t>
      </w:r>
      <w:r>
        <w:rPr>
          <w:rFonts w:cs="Arial"/>
          <w:b/>
          <w:sz w:val="22"/>
        </w:rPr>
        <w:t>71</w:t>
      </w:r>
      <w:r w:rsidRPr="001F7103">
        <w:rPr>
          <w:rFonts w:cs="Arial"/>
          <w:b/>
          <w:sz w:val="22"/>
        </w:rPr>
        <w:t xml:space="preserve"> </w:t>
      </w:r>
      <w:r w:rsidR="009B1852" w:rsidRPr="001F7103">
        <w:rPr>
          <w:rFonts w:cs="Arial"/>
          <w:b/>
          <w:sz w:val="22"/>
        </w:rPr>
        <w:t>per cent</w:t>
      </w:r>
      <w:r w:rsidR="009B1852" w:rsidRPr="001F7103">
        <w:rPr>
          <w:rFonts w:cs="Arial"/>
          <w:sz w:val="22"/>
        </w:rPr>
        <w:t xml:space="preserve">) of respondents agree that </w:t>
      </w:r>
      <w:r w:rsidR="00AD031E" w:rsidRPr="001F7103">
        <w:rPr>
          <w:rFonts w:cs="Arial"/>
          <w:sz w:val="22"/>
        </w:rPr>
        <w:t>sector-led improvement is the right approach in the current context.</w:t>
      </w:r>
      <w:r w:rsidR="00B61D2E" w:rsidRPr="001F7103">
        <w:rPr>
          <w:rFonts w:cs="Arial"/>
          <w:sz w:val="22"/>
        </w:rPr>
        <w:t xml:space="preserve">  T</w:t>
      </w:r>
      <w:r w:rsidR="00AD031E" w:rsidRPr="001F7103">
        <w:rPr>
          <w:rFonts w:cs="Arial"/>
          <w:sz w:val="22"/>
        </w:rPr>
        <w:t xml:space="preserve">his </w:t>
      </w:r>
      <w:r w:rsidR="009B1852" w:rsidRPr="001F7103">
        <w:rPr>
          <w:rFonts w:cs="Arial"/>
          <w:sz w:val="22"/>
        </w:rPr>
        <w:t xml:space="preserve">is </w:t>
      </w:r>
      <w:r w:rsidR="009E3B5A">
        <w:rPr>
          <w:rFonts w:cs="Arial"/>
          <w:sz w:val="22"/>
        </w:rPr>
        <w:t xml:space="preserve">significantly </w:t>
      </w:r>
      <w:r>
        <w:rPr>
          <w:rFonts w:cs="Arial"/>
          <w:sz w:val="22"/>
        </w:rPr>
        <w:t>greater</w:t>
      </w:r>
      <w:r w:rsidRPr="001F7103">
        <w:rPr>
          <w:rFonts w:cs="Arial"/>
          <w:sz w:val="22"/>
        </w:rPr>
        <w:t xml:space="preserve"> </w:t>
      </w:r>
      <w:r>
        <w:rPr>
          <w:rFonts w:cs="Arial"/>
          <w:sz w:val="22"/>
        </w:rPr>
        <w:t>than</w:t>
      </w:r>
      <w:r w:rsidRPr="001F7103">
        <w:rPr>
          <w:rFonts w:cs="Arial"/>
          <w:sz w:val="22"/>
        </w:rPr>
        <w:t xml:space="preserve"> </w:t>
      </w:r>
      <w:r w:rsidR="00375926">
        <w:rPr>
          <w:rFonts w:cs="Arial"/>
          <w:sz w:val="22"/>
        </w:rPr>
        <w:t>last year</w:t>
      </w:r>
      <w:r w:rsidR="009E3B5A">
        <w:rPr>
          <w:rFonts w:cs="Arial"/>
          <w:sz w:val="22"/>
        </w:rPr>
        <w:t xml:space="preserve"> (63 per cent)</w:t>
      </w:r>
      <w:r w:rsidR="009B1852" w:rsidRPr="001F7103">
        <w:rPr>
          <w:rFonts w:cs="Arial"/>
          <w:sz w:val="22"/>
        </w:rPr>
        <w:t>.</w:t>
      </w:r>
    </w:p>
    <w:p w14:paraId="744DEBA1" w14:textId="77777777" w:rsidR="00B61D2E" w:rsidRPr="001F7103" w:rsidRDefault="00B61D2E" w:rsidP="00AD031E">
      <w:pPr>
        <w:rPr>
          <w:rFonts w:cs="Arial"/>
          <w:sz w:val="22"/>
          <w:szCs w:val="22"/>
        </w:rPr>
      </w:pPr>
    </w:p>
    <w:p w14:paraId="744DEBA2" w14:textId="77777777" w:rsidR="009B1852" w:rsidRPr="001F7103" w:rsidRDefault="00B61D2E" w:rsidP="00ED7C31">
      <w:pPr>
        <w:pStyle w:val="ListParagraph"/>
        <w:numPr>
          <w:ilvl w:val="0"/>
          <w:numId w:val="8"/>
        </w:numPr>
        <w:spacing w:before="0" w:after="0" w:line="240" w:lineRule="auto"/>
        <w:ind w:left="357"/>
        <w:rPr>
          <w:rFonts w:cs="Arial"/>
          <w:sz w:val="22"/>
        </w:rPr>
      </w:pPr>
      <w:r w:rsidRPr="001F7103">
        <w:rPr>
          <w:rFonts w:cs="Arial"/>
          <w:b/>
          <w:sz w:val="22"/>
        </w:rPr>
        <w:t>O</w:t>
      </w:r>
      <w:r w:rsidR="003C0EF4" w:rsidRPr="001F7103">
        <w:rPr>
          <w:rFonts w:cs="Arial"/>
          <w:b/>
          <w:sz w:val="22"/>
        </w:rPr>
        <w:t>fficers</w:t>
      </w:r>
      <w:r w:rsidR="003C0EF4" w:rsidRPr="001F7103">
        <w:rPr>
          <w:rFonts w:cs="Arial"/>
          <w:sz w:val="22"/>
        </w:rPr>
        <w:t xml:space="preserve"> </w:t>
      </w:r>
      <w:r w:rsidR="00D959DB" w:rsidRPr="001F7103">
        <w:rPr>
          <w:rFonts w:cs="Arial"/>
          <w:sz w:val="22"/>
        </w:rPr>
        <w:t xml:space="preserve">and </w:t>
      </w:r>
      <w:r w:rsidRPr="001F7103">
        <w:rPr>
          <w:rFonts w:cs="Arial"/>
          <w:b/>
          <w:sz w:val="22"/>
        </w:rPr>
        <w:t>councillors</w:t>
      </w:r>
      <w:r w:rsidR="008E7BE3">
        <w:rPr>
          <w:rFonts w:cs="Arial"/>
          <w:b/>
          <w:sz w:val="22"/>
        </w:rPr>
        <w:t xml:space="preserve"> in executive positions</w:t>
      </w:r>
      <w:r w:rsidR="00A259B1" w:rsidRPr="001F7103">
        <w:rPr>
          <w:rFonts w:cs="Arial"/>
          <w:sz w:val="22"/>
        </w:rPr>
        <w:t xml:space="preserve"> are more likely than </w:t>
      </w:r>
      <w:r w:rsidR="008E7BE3">
        <w:rPr>
          <w:rFonts w:cs="Arial"/>
          <w:sz w:val="22"/>
        </w:rPr>
        <w:t>front-line</w:t>
      </w:r>
      <w:r w:rsidRPr="00242808">
        <w:rPr>
          <w:rFonts w:cs="Arial"/>
          <w:sz w:val="22"/>
        </w:rPr>
        <w:t xml:space="preserve"> councillors</w:t>
      </w:r>
      <w:r w:rsidR="003C0EF4" w:rsidRPr="001F7103">
        <w:rPr>
          <w:rFonts w:cs="Arial"/>
          <w:sz w:val="22"/>
        </w:rPr>
        <w:t xml:space="preserve"> to agree that sector-led improvement is the right approach in the current context (</w:t>
      </w:r>
      <w:r w:rsidR="00696CCA">
        <w:rPr>
          <w:rFonts w:cs="Arial"/>
          <w:b/>
          <w:sz w:val="22"/>
        </w:rPr>
        <w:t>84</w:t>
      </w:r>
      <w:r w:rsidR="00696CCA" w:rsidRPr="001F7103">
        <w:rPr>
          <w:rFonts w:cs="Arial"/>
          <w:b/>
          <w:sz w:val="22"/>
        </w:rPr>
        <w:t xml:space="preserve"> </w:t>
      </w:r>
      <w:r w:rsidR="003C0EF4" w:rsidRPr="00ED7C31">
        <w:rPr>
          <w:rFonts w:cs="Arial"/>
          <w:b/>
          <w:sz w:val="22"/>
        </w:rPr>
        <w:t>per</w:t>
      </w:r>
      <w:r w:rsidR="003C0EF4" w:rsidRPr="001F7103">
        <w:rPr>
          <w:rFonts w:cs="Arial"/>
          <w:b/>
          <w:sz w:val="22"/>
        </w:rPr>
        <w:t xml:space="preserve"> cent </w:t>
      </w:r>
      <w:r w:rsidR="00A131C4">
        <w:rPr>
          <w:rFonts w:cs="Arial"/>
          <w:sz w:val="22"/>
        </w:rPr>
        <w:t>and</w:t>
      </w:r>
      <w:r w:rsidR="00A131C4" w:rsidRPr="001F7103">
        <w:rPr>
          <w:rFonts w:cs="Arial"/>
          <w:sz w:val="22"/>
        </w:rPr>
        <w:t xml:space="preserve"> </w:t>
      </w:r>
      <w:r w:rsidR="00696CCA" w:rsidRPr="001F7103">
        <w:rPr>
          <w:rFonts w:cs="Arial"/>
          <w:sz w:val="22"/>
        </w:rPr>
        <w:t>6</w:t>
      </w:r>
      <w:r w:rsidR="00696CCA">
        <w:rPr>
          <w:rFonts w:cs="Arial"/>
          <w:sz w:val="22"/>
        </w:rPr>
        <w:t>8</w:t>
      </w:r>
      <w:r w:rsidR="00696CCA" w:rsidRPr="001F7103">
        <w:rPr>
          <w:rFonts w:cs="Arial"/>
          <w:sz w:val="22"/>
        </w:rPr>
        <w:t xml:space="preserve"> </w:t>
      </w:r>
      <w:r w:rsidR="003C0EF4" w:rsidRPr="001F7103">
        <w:rPr>
          <w:rFonts w:cs="Arial"/>
          <w:sz w:val="22"/>
        </w:rPr>
        <w:t xml:space="preserve">per cent </w:t>
      </w:r>
      <w:r w:rsidR="00A131C4">
        <w:rPr>
          <w:rFonts w:cs="Arial"/>
          <w:sz w:val="22"/>
        </w:rPr>
        <w:t>compared to</w:t>
      </w:r>
      <w:r w:rsidR="00A131C4" w:rsidRPr="001F7103">
        <w:rPr>
          <w:rFonts w:cs="Arial"/>
          <w:sz w:val="22"/>
        </w:rPr>
        <w:t xml:space="preserve"> </w:t>
      </w:r>
      <w:r w:rsidR="00696CCA">
        <w:rPr>
          <w:rFonts w:cs="Arial"/>
          <w:sz w:val="22"/>
        </w:rPr>
        <w:t>6</w:t>
      </w:r>
      <w:r w:rsidR="00696CCA" w:rsidRPr="001F7103">
        <w:rPr>
          <w:rFonts w:cs="Arial"/>
          <w:sz w:val="22"/>
        </w:rPr>
        <w:t xml:space="preserve">4 </w:t>
      </w:r>
      <w:r w:rsidR="003C0EF4" w:rsidRPr="001F7103">
        <w:rPr>
          <w:rFonts w:cs="Arial"/>
          <w:sz w:val="22"/>
        </w:rPr>
        <w:t>per cent</w:t>
      </w:r>
      <w:r w:rsidR="0059744F">
        <w:rPr>
          <w:rFonts w:cs="Arial"/>
          <w:sz w:val="22"/>
        </w:rPr>
        <w:t>).  How</w:t>
      </w:r>
      <w:r w:rsidR="00696CCA">
        <w:rPr>
          <w:rFonts w:cs="Arial"/>
          <w:sz w:val="22"/>
        </w:rPr>
        <w:t>ever</w:t>
      </w:r>
      <w:r w:rsidR="0059744F">
        <w:rPr>
          <w:rFonts w:cs="Arial"/>
          <w:sz w:val="22"/>
        </w:rPr>
        <w:t>,</w:t>
      </w:r>
      <w:r w:rsidR="00696CCA">
        <w:rPr>
          <w:rFonts w:cs="Arial"/>
          <w:sz w:val="22"/>
        </w:rPr>
        <w:t xml:space="preserve"> agreement amongst </w:t>
      </w:r>
      <w:r w:rsidR="008E7BE3">
        <w:rPr>
          <w:rFonts w:cs="Arial"/>
          <w:sz w:val="22"/>
        </w:rPr>
        <w:t>front-line councillors</w:t>
      </w:r>
      <w:r w:rsidR="00696CCA">
        <w:rPr>
          <w:rFonts w:cs="Arial"/>
          <w:sz w:val="22"/>
        </w:rPr>
        <w:t xml:space="preserve"> </w:t>
      </w:r>
      <w:r w:rsidR="00000973">
        <w:rPr>
          <w:rFonts w:cs="Arial"/>
          <w:sz w:val="22"/>
        </w:rPr>
        <w:t>h</w:t>
      </w:r>
      <w:r w:rsidR="00696CCA">
        <w:rPr>
          <w:rFonts w:cs="Arial"/>
          <w:sz w:val="22"/>
        </w:rPr>
        <w:t>as</w:t>
      </w:r>
      <w:r w:rsidR="009E3B5A">
        <w:rPr>
          <w:rFonts w:cs="Arial"/>
          <w:sz w:val="22"/>
        </w:rPr>
        <w:t xml:space="preserve"> significantly</w:t>
      </w:r>
      <w:r w:rsidR="00696CCA">
        <w:rPr>
          <w:rFonts w:cs="Arial"/>
          <w:sz w:val="22"/>
        </w:rPr>
        <w:t xml:space="preserve"> increased since 2014 (</w:t>
      </w:r>
      <w:r w:rsidR="00696CCA" w:rsidRPr="00242808">
        <w:rPr>
          <w:rFonts w:cs="Arial"/>
          <w:b/>
          <w:sz w:val="22"/>
        </w:rPr>
        <w:t>54 per cent</w:t>
      </w:r>
      <w:r w:rsidR="00696CCA">
        <w:rPr>
          <w:rFonts w:cs="Arial"/>
          <w:sz w:val="22"/>
        </w:rPr>
        <w:t>)</w:t>
      </w:r>
      <w:r w:rsidR="003C0EF4" w:rsidRPr="001F7103">
        <w:rPr>
          <w:rFonts w:cs="Arial"/>
          <w:sz w:val="22"/>
        </w:rPr>
        <w:t xml:space="preserve">. </w:t>
      </w:r>
    </w:p>
    <w:p w14:paraId="744DEBA3" w14:textId="77777777" w:rsidR="00B61D2E" w:rsidRPr="001F7103" w:rsidRDefault="00B61D2E" w:rsidP="00A259B1">
      <w:pPr>
        <w:rPr>
          <w:rFonts w:eastAsia="Arial" w:cs="Arial"/>
          <w:sz w:val="22"/>
          <w:szCs w:val="22"/>
          <w:lang w:eastAsia="en-US"/>
        </w:rPr>
      </w:pPr>
    </w:p>
    <w:p w14:paraId="744DEBA4" w14:textId="592D3C29" w:rsidR="00696CCA" w:rsidRDefault="00696CCA" w:rsidP="00ED7C31">
      <w:pPr>
        <w:pStyle w:val="ListParagraph"/>
        <w:numPr>
          <w:ilvl w:val="0"/>
          <w:numId w:val="8"/>
        </w:numPr>
        <w:spacing w:before="0" w:after="0" w:line="240" w:lineRule="auto"/>
        <w:ind w:left="357"/>
        <w:rPr>
          <w:sz w:val="22"/>
        </w:rPr>
      </w:pPr>
      <w:r>
        <w:rPr>
          <w:sz w:val="22"/>
        </w:rPr>
        <w:t xml:space="preserve">Of the support and resources </w:t>
      </w:r>
      <w:r w:rsidRPr="00ED7C31">
        <w:rPr>
          <w:rFonts w:cs="Arial"/>
          <w:sz w:val="22"/>
        </w:rPr>
        <w:t>offered</w:t>
      </w:r>
      <w:r>
        <w:rPr>
          <w:sz w:val="22"/>
        </w:rPr>
        <w:t xml:space="preserve"> by the LGA for sector</w:t>
      </w:r>
      <w:r w:rsidR="00C12A5B">
        <w:rPr>
          <w:sz w:val="22"/>
        </w:rPr>
        <w:t>-</w:t>
      </w:r>
      <w:r>
        <w:rPr>
          <w:sz w:val="22"/>
        </w:rPr>
        <w:t xml:space="preserve">led improvement that the respondents had heard of, </w:t>
      </w:r>
      <w:r w:rsidR="004E7216">
        <w:rPr>
          <w:sz w:val="22"/>
        </w:rPr>
        <w:t xml:space="preserve">the following were rated </w:t>
      </w:r>
      <w:r>
        <w:rPr>
          <w:sz w:val="22"/>
        </w:rPr>
        <w:t>as ‘</w:t>
      </w:r>
      <w:r w:rsidRPr="00E43E9D">
        <w:rPr>
          <w:i/>
          <w:sz w:val="22"/>
        </w:rPr>
        <w:t>very or fairly useful</w:t>
      </w:r>
      <w:r>
        <w:rPr>
          <w:sz w:val="22"/>
        </w:rPr>
        <w:t>’:</w:t>
      </w:r>
    </w:p>
    <w:p w14:paraId="3769E8A1" w14:textId="77777777" w:rsidR="00C12A5B" w:rsidRPr="00C12A5B" w:rsidRDefault="00C12A5B" w:rsidP="00C12A5B">
      <w:pPr>
        <w:pStyle w:val="ListParagraph"/>
        <w:numPr>
          <w:ilvl w:val="0"/>
          <w:numId w:val="0"/>
        </w:numPr>
        <w:ind w:left="360"/>
        <w:rPr>
          <w:sz w:val="22"/>
        </w:rPr>
      </w:pPr>
    </w:p>
    <w:p w14:paraId="25DF3502" w14:textId="77777777" w:rsidR="00ED7C31" w:rsidRPr="00ED7C31" w:rsidRDefault="00EA45BB" w:rsidP="00ED7C31">
      <w:pPr>
        <w:pStyle w:val="ListParagraph"/>
        <w:numPr>
          <w:ilvl w:val="1"/>
          <w:numId w:val="8"/>
        </w:numPr>
        <w:spacing w:before="0" w:after="0" w:line="240" w:lineRule="auto"/>
        <w:rPr>
          <w:sz w:val="22"/>
        </w:rPr>
      </w:pPr>
      <w:r>
        <w:rPr>
          <w:sz w:val="22"/>
        </w:rPr>
        <w:t xml:space="preserve">Access </w:t>
      </w:r>
      <w:r w:rsidRPr="00ED7C31">
        <w:rPr>
          <w:rFonts w:cs="Arial"/>
          <w:sz w:val="22"/>
        </w:rPr>
        <w:t>to</w:t>
      </w:r>
      <w:r>
        <w:rPr>
          <w:sz w:val="22"/>
        </w:rPr>
        <w:t xml:space="preserve"> good practice to help authorities learn from others </w:t>
      </w:r>
      <w:r w:rsidRPr="00477240">
        <w:rPr>
          <w:b/>
          <w:sz w:val="22"/>
        </w:rPr>
        <w:t>(94 per cent)</w:t>
      </w:r>
    </w:p>
    <w:p w14:paraId="2970EC1C" w14:textId="77777777" w:rsidR="00ED7C31" w:rsidRPr="00ED7C31" w:rsidRDefault="00696CCA" w:rsidP="00ED7C31">
      <w:pPr>
        <w:pStyle w:val="ListParagraph"/>
        <w:numPr>
          <w:ilvl w:val="1"/>
          <w:numId w:val="8"/>
        </w:numPr>
        <w:spacing w:before="0" w:after="0" w:line="240" w:lineRule="auto"/>
        <w:rPr>
          <w:sz w:val="22"/>
        </w:rPr>
      </w:pPr>
      <w:r w:rsidRPr="00ED7C31">
        <w:rPr>
          <w:sz w:val="22"/>
        </w:rPr>
        <w:t xml:space="preserve">Peer challenges to provide an external view on performance </w:t>
      </w:r>
      <w:r w:rsidRPr="00ED7C31">
        <w:rPr>
          <w:b/>
          <w:sz w:val="22"/>
        </w:rPr>
        <w:t>(9</w:t>
      </w:r>
      <w:r w:rsidR="00583BB5" w:rsidRPr="00ED7C31">
        <w:rPr>
          <w:b/>
          <w:sz w:val="22"/>
        </w:rPr>
        <w:t>3</w:t>
      </w:r>
      <w:r w:rsidRPr="00ED7C31">
        <w:rPr>
          <w:b/>
          <w:sz w:val="22"/>
        </w:rPr>
        <w:t xml:space="preserve"> per cent)</w:t>
      </w:r>
    </w:p>
    <w:p w14:paraId="744DEBA7" w14:textId="6C1EB3EE" w:rsidR="00696CCA" w:rsidRPr="00ED7C31" w:rsidRDefault="00EA45BB" w:rsidP="00ED7C31">
      <w:pPr>
        <w:pStyle w:val="ListParagraph"/>
        <w:numPr>
          <w:ilvl w:val="1"/>
          <w:numId w:val="8"/>
        </w:numPr>
        <w:spacing w:before="0" w:after="0" w:line="240" w:lineRule="auto"/>
        <w:rPr>
          <w:sz w:val="22"/>
        </w:rPr>
      </w:pPr>
      <w:r w:rsidRPr="00ED7C31">
        <w:rPr>
          <w:sz w:val="22"/>
        </w:rPr>
        <w:t xml:space="preserve">Supporting, coaching and mentoring for members and officers by their peers </w:t>
      </w:r>
      <w:r w:rsidRPr="00ED7C31">
        <w:rPr>
          <w:b/>
          <w:sz w:val="22"/>
        </w:rPr>
        <w:t>(91 per cent)</w:t>
      </w:r>
    </w:p>
    <w:p w14:paraId="70E98F6B" w14:textId="77777777" w:rsidR="00ED7C31" w:rsidRDefault="00ED7C31" w:rsidP="008F3FDC">
      <w:pPr>
        <w:rPr>
          <w:b/>
          <w:sz w:val="22"/>
          <w:szCs w:val="22"/>
          <w:highlight w:val="yellow"/>
        </w:rPr>
      </w:pPr>
    </w:p>
    <w:p w14:paraId="744DEBA9" w14:textId="7DF58AD2" w:rsidR="00AD031E" w:rsidRDefault="00AD031E" w:rsidP="008F3FDC">
      <w:pPr>
        <w:rPr>
          <w:b/>
          <w:sz w:val="22"/>
          <w:szCs w:val="22"/>
        </w:rPr>
      </w:pPr>
      <w:r w:rsidRPr="00C03731">
        <w:rPr>
          <w:b/>
          <w:sz w:val="22"/>
          <w:szCs w:val="22"/>
        </w:rPr>
        <w:t>Objectives</w:t>
      </w:r>
    </w:p>
    <w:p w14:paraId="4FDB9F96" w14:textId="77777777" w:rsidR="00BA37B6" w:rsidRPr="00C03731" w:rsidRDefault="00BA37B6" w:rsidP="008F3FDC">
      <w:pPr>
        <w:rPr>
          <w:b/>
          <w:sz w:val="22"/>
          <w:szCs w:val="22"/>
        </w:rPr>
      </w:pPr>
    </w:p>
    <w:p w14:paraId="3B29F8DC" w14:textId="77777777" w:rsidR="00BA37B6" w:rsidRDefault="00AD031E" w:rsidP="00BA37B6">
      <w:pPr>
        <w:pStyle w:val="ListParagraph"/>
        <w:numPr>
          <w:ilvl w:val="0"/>
          <w:numId w:val="8"/>
        </w:numPr>
        <w:spacing w:before="0" w:after="0" w:line="240" w:lineRule="auto"/>
        <w:ind w:left="357"/>
        <w:rPr>
          <w:sz w:val="22"/>
        </w:rPr>
      </w:pPr>
      <w:r w:rsidRPr="00C03731">
        <w:rPr>
          <w:sz w:val="22"/>
        </w:rPr>
        <w:t>This research was undertaken to:</w:t>
      </w:r>
    </w:p>
    <w:p w14:paraId="1FB1FA7C" w14:textId="77777777" w:rsidR="00543F25" w:rsidRDefault="00543F25" w:rsidP="00543F25">
      <w:pPr>
        <w:pStyle w:val="ListParagraph"/>
        <w:numPr>
          <w:ilvl w:val="0"/>
          <w:numId w:val="0"/>
        </w:numPr>
        <w:spacing w:before="0" w:after="0" w:line="240" w:lineRule="auto"/>
        <w:ind w:left="357"/>
        <w:rPr>
          <w:sz w:val="22"/>
        </w:rPr>
      </w:pPr>
    </w:p>
    <w:p w14:paraId="744DEBAB" w14:textId="543CED95" w:rsidR="00AD031E" w:rsidRDefault="00AD031E" w:rsidP="00BA37B6">
      <w:pPr>
        <w:pStyle w:val="ListParagraph"/>
        <w:numPr>
          <w:ilvl w:val="1"/>
          <w:numId w:val="8"/>
        </w:numPr>
        <w:spacing w:before="0" w:after="0" w:line="240" w:lineRule="auto"/>
        <w:rPr>
          <w:rFonts w:cs="Arial"/>
          <w:sz w:val="22"/>
        </w:rPr>
      </w:pPr>
      <w:r w:rsidRPr="00BA37B6">
        <w:rPr>
          <w:rFonts w:cs="Arial"/>
          <w:sz w:val="22"/>
        </w:rPr>
        <w:t>Quantify member authorities' understanding of the LGA and what the LGA currently offers. This includes levels and channels of awareness, understanding of functions perceived to be part of the LGA’s remit, and how effective the LGA is seen at fulfilling these functions.</w:t>
      </w:r>
    </w:p>
    <w:p w14:paraId="09E317C1" w14:textId="77777777" w:rsidR="00543F25" w:rsidRPr="00BA37B6" w:rsidRDefault="00543F25" w:rsidP="00543F25">
      <w:pPr>
        <w:pStyle w:val="ListParagraph"/>
        <w:numPr>
          <w:ilvl w:val="0"/>
          <w:numId w:val="0"/>
        </w:numPr>
        <w:spacing w:before="0" w:after="0" w:line="240" w:lineRule="auto"/>
        <w:ind w:left="1134"/>
        <w:rPr>
          <w:rFonts w:cs="Arial"/>
          <w:sz w:val="22"/>
        </w:rPr>
      </w:pPr>
    </w:p>
    <w:p w14:paraId="744DEBAC" w14:textId="77777777" w:rsidR="00AD031E" w:rsidRDefault="00AD031E" w:rsidP="00BA37B6">
      <w:pPr>
        <w:pStyle w:val="ListParagraph"/>
        <w:numPr>
          <w:ilvl w:val="1"/>
          <w:numId w:val="8"/>
        </w:numPr>
        <w:spacing w:before="0" w:after="0" w:line="240" w:lineRule="auto"/>
        <w:rPr>
          <w:rFonts w:cs="Arial"/>
          <w:sz w:val="22"/>
        </w:rPr>
      </w:pPr>
      <w:r w:rsidRPr="00BA37B6">
        <w:rPr>
          <w:rFonts w:cs="Arial"/>
          <w:sz w:val="22"/>
        </w:rPr>
        <w:t xml:space="preserve">Investigate what our members want from the LGA and how they want to engage. This aspect provides feedback on a strategic level in terms of the organisation’s role and responsibilities but also on a tactical level in terms of formats and channels preferred. </w:t>
      </w:r>
    </w:p>
    <w:p w14:paraId="6812FD22" w14:textId="77777777" w:rsidR="00543F25" w:rsidRPr="00543F25" w:rsidRDefault="00543F25" w:rsidP="00543F25">
      <w:pPr>
        <w:pStyle w:val="ListParagraph"/>
        <w:numPr>
          <w:ilvl w:val="0"/>
          <w:numId w:val="0"/>
        </w:numPr>
        <w:ind w:left="360"/>
        <w:rPr>
          <w:rFonts w:cs="Arial"/>
          <w:sz w:val="22"/>
        </w:rPr>
      </w:pPr>
    </w:p>
    <w:p w14:paraId="744DEBAD" w14:textId="77777777" w:rsidR="00AD031E" w:rsidRDefault="00AD031E" w:rsidP="00BA37B6">
      <w:pPr>
        <w:pStyle w:val="ListParagraph"/>
        <w:numPr>
          <w:ilvl w:val="1"/>
          <w:numId w:val="8"/>
        </w:numPr>
        <w:spacing w:before="0" w:after="0" w:line="240" w:lineRule="auto"/>
        <w:rPr>
          <w:rFonts w:cs="Arial"/>
          <w:sz w:val="22"/>
        </w:rPr>
      </w:pPr>
      <w:r w:rsidRPr="00BA37B6">
        <w:rPr>
          <w:rFonts w:cs="Arial"/>
          <w:sz w:val="22"/>
        </w:rPr>
        <w:t>Assess levels of awareness</w:t>
      </w:r>
      <w:r w:rsidR="008F3FDC" w:rsidRPr="00BA37B6">
        <w:rPr>
          <w:rFonts w:cs="Arial"/>
          <w:sz w:val="22"/>
        </w:rPr>
        <w:t>/</w:t>
      </w:r>
      <w:r w:rsidRPr="00BA37B6">
        <w:rPr>
          <w:rFonts w:cs="Arial"/>
          <w:sz w:val="22"/>
        </w:rPr>
        <w:t xml:space="preserve">views of sector-led improvement within local government, and views on support offered by the LGA. The research identifies areas where </w:t>
      </w:r>
      <w:r w:rsidR="008F3FDC" w:rsidRPr="00BA37B6">
        <w:rPr>
          <w:rFonts w:cs="Arial"/>
          <w:sz w:val="22"/>
        </w:rPr>
        <w:t>we</w:t>
      </w:r>
      <w:r w:rsidRPr="00BA37B6">
        <w:rPr>
          <w:rFonts w:cs="Arial"/>
          <w:sz w:val="22"/>
        </w:rPr>
        <w:t xml:space="preserve"> might enhance its support in this area, by investigating the membership’s preferences and experiences of support, the impact that such support and the resources we provide to support sector-led improvement. </w:t>
      </w:r>
    </w:p>
    <w:p w14:paraId="50E83C13" w14:textId="77777777" w:rsidR="00543F25" w:rsidRPr="00543F25" w:rsidRDefault="00543F25" w:rsidP="00543F25">
      <w:pPr>
        <w:pStyle w:val="ListParagraph"/>
        <w:numPr>
          <w:ilvl w:val="0"/>
          <w:numId w:val="0"/>
        </w:numPr>
        <w:ind w:left="360"/>
        <w:rPr>
          <w:rFonts w:cs="Arial"/>
          <w:sz w:val="22"/>
        </w:rPr>
      </w:pPr>
    </w:p>
    <w:p w14:paraId="744DEBAE" w14:textId="77777777" w:rsidR="00AD031E" w:rsidRPr="00BA37B6" w:rsidRDefault="00AD031E" w:rsidP="00BA37B6">
      <w:pPr>
        <w:pStyle w:val="ListParagraph"/>
        <w:numPr>
          <w:ilvl w:val="1"/>
          <w:numId w:val="8"/>
        </w:numPr>
        <w:spacing w:before="0" w:after="0" w:line="240" w:lineRule="auto"/>
        <w:rPr>
          <w:rFonts w:cs="Arial"/>
          <w:sz w:val="22"/>
        </w:rPr>
      </w:pPr>
      <w:r w:rsidRPr="00BA37B6">
        <w:rPr>
          <w:rFonts w:cs="Arial"/>
          <w:sz w:val="22"/>
        </w:rPr>
        <w:t xml:space="preserve">Compare with the results of the </w:t>
      </w:r>
      <w:r w:rsidR="00275042" w:rsidRPr="00BA37B6">
        <w:rPr>
          <w:rFonts w:cs="Arial"/>
          <w:sz w:val="22"/>
        </w:rPr>
        <w:t>2012</w:t>
      </w:r>
      <w:r w:rsidR="005547B7" w:rsidRPr="00BA37B6">
        <w:rPr>
          <w:rFonts w:cs="Arial"/>
          <w:sz w:val="22"/>
        </w:rPr>
        <w:t>,</w:t>
      </w:r>
      <w:r w:rsidR="00275042" w:rsidRPr="00BA37B6">
        <w:rPr>
          <w:rFonts w:cs="Arial"/>
          <w:sz w:val="22"/>
        </w:rPr>
        <w:t xml:space="preserve"> </w:t>
      </w:r>
      <w:r w:rsidRPr="00BA37B6">
        <w:rPr>
          <w:rFonts w:cs="Arial"/>
          <w:sz w:val="22"/>
        </w:rPr>
        <w:t>201</w:t>
      </w:r>
      <w:r w:rsidR="00275042" w:rsidRPr="00BA37B6">
        <w:rPr>
          <w:rFonts w:cs="Arial"/>
          <w:sz w:val="22"/>
        </w:rPr>
        <w:t>3</w:t>
      </w:r>
      <w:r w:rsidRPr="00BA37B6">
        <w:rPr>
          <w:rFonts w:cs="Arial"/>
          <w:sz w:val="22"/>
        </w:rPr>
        <w:t xml:space="preserve"> </w:t>
      </w:r>
      <w:r w:rsidR="005547B7" w:rsidRPr="00BA37B6">
        <w:rPr>
          <w:rFonts w:cs="Arial"/>
          <w:sz w:val="22"/>
        </w:rPr>
        <w:t xml:space="preserve">and 2014 </w:t>
      </w:r>
      <w:r w:rsidRPr="00BA37B6">
        <w:rPr>
          <w:rFonts w:cs="Arial"/>
          <w:sz w:val="22"/>
        </w:rPr>
        <w:t>survey</w:t>
      </w:r>
      <w:r w:rsidR="00275042" w:rsidRPr="00BA37B6">
        <w:rPr>
          <w:rFonts w:cs="Arial"/>
          <w:sz w:val="22"/>
        </w:rPr>
        <w:t>s</w:t>
      </w:r>
      <w:r w:rsidRPr="00BA37B6">
        <w:rPr>
          <w:rFonts w:cs="Arial"/>
          <w:sz w:val="22"/>
        </w:rPr>
        <w:t>.</w:t>
      </w:r>
    </w:p>
    <w:p w14:paraId="744DEBAF" w14:textId="77777777" w:rsidR="00DB45E5" w:rsidRDefault="00DB45E5" w:rsidP="008F3FDC">
      <w:pPr>
        <w:rPr>
          <w:b/>
          <w:sz w:val="22"/>
          <w:szCs w:val="22"/>
        </w:rPr>
      </w:pPr>
    </w:p>
    <w:p w14:paraId="0D3D24E4" w14:textId="77777777" w:rsidR="007B2D93" w:rsidRDefault="007B2D93" w:rsidP="008F3FDC">
      <w:pPr>
        <w:rPr>
          <w:b/>
          <w:sz w:val="22"/>
          <w:szCs w:val="22"/>
        </w:rPr>
      </w:pPr>
    </w:p>
    <w:p w14:paraId="7DBD0854" w14:textId="77777777" w:rsidR="007B2D93" w:rsidRPr="004F4852" w:rsidRDefault="007B2D93" w:rsidP="008F3FDC">
      <w:pPr>
        <w:rPr>
          <w:b/>
          <w:sz w:val="22"/>
          <w:szCs w:val="22"/>
        </w:rPr>
      </w:pPr>
    </w:p>
    <w:p w14:paraId="744DEBB0" w14:textId="0CC2AC10" w:rsidR="00221FA5" w:rsidRDefault="0051335A" w:rsidP="008F3FDC">
      <w:pPr>
        <w:rPr>
          <w:b/>
          <w:sz w:val="22"/>
          <w:szCs w:val="22"/>
        </w:rPr>
      </w:pPr>
      <w:r w:rsidRPr="004F4852">
        <w:rPr>
          <w:b/>
          <w:sz w:val="22"/>
          <w:szCs w:val="22"/>
        </w:rPr>
        <w:lastRenderedPageBreak/>
        <w:t>Methodology</w:t>
      </w:r>
    </w:p>
    <w:p w14:paraId="234F9524" w14:textId="77777777" w:rsidR="00543F25" w:rsidRPr="004F4852" w:rsidRDefault="00543F25" w:rsidP="008F3FDC">
      <w:pPr>
        <w:rPr>
          <w:b/>
          <w:sz w:val="22"/>
          <w:szCs w:val="22"/>
        </w:rPr>
      </w:pPr>
    </w:p>
    <w:p w14:paraId="744DEBB1" w14:textId="77777777" w:rsidR="0051335A" w:rsidRDefault="00221FA5" w:rsidP="00C12A5B">
      <w:pPr>
        <w:pStyle w:val="ListParagraph"/>
        <w:numPr>
          <w:ilvl w:val="0"/>
          <w:numId w:val="8"/>
        </w:numPr>
        <w:spacing w:before="0" w:after="0" w:line="240" w:lineRule="auto"/>
        <w:ind w:left="357"/>
        <w:rPr>
          <w:sz w:val="22"/>
        </w:rPr>
      </w:pPr>
      <w:r w:rsidRPr="005547B7">
        <w:rPr>
          <w:sz w:val="22"/>
        </w:rPr>
        <w:t xml:space="preserve">Telephone Interviews were undertaken with a sample of </w:t>
      </w:r>
      <w:r w:rsidR="00A01EE1" w:rsidRPr="005547B7">
        <w:rPr>
          <w:sz w:val="22"/>
        </w:rPr>
        <w:t>8</w:t>
      </w:r>
      <w:r w:rsidR="005547B7" w:rsidRPr="005547B7">
        <w:rPr>
          <w:sz w:val="22"/>
        </w:rPr>
        <w:t>35</w:t>
      </w:r>
      <w:r w:rsidR="00A01EE1" w:rsidRPr="005547B7">
        <w:rPr>
          <w:sz w:val="22"/>
        </w:rPr>
        <w:t xml:space="preserve"> </w:t>
      </w:r>
      <w:r w:rsidRPr="005547B7">
        <w:rPr>
          <w:sz w:val="22"/>
        </w:rPr>
        <w:t xml:space="preserve">representatives from </w:t>
      </w:r>
      <w:r w:rsidR="0051335A" w:rsidRPr="005547B7">
        <w:rPr>
          <w:sz w:val="22"/>
        </w:rPr>
        <w:t xml:space="preserve">councils </w:t>
      </w:r>
      <w:r w:rsidRPr="005547B7">
        <w:rPr>
          <w:sz w:val="22"/>
        </w:rPr>
        <w:t>across all regions</w:t>
      </w:r>
      <w:r w:rsidR="0051335A" w:rsidRPr="005547B7">
        <w:rPr>
          <w:sz w:val="22"/>
        </w:rPr>
        <w:t>.  These included:</w:t>
      </w:r>
    </w:p>
    <w:p w14:paraId="05BA595D" w14:textId="77777777" w:rsidR="00C12A5B" w:rsidRPr="004F4852" w:rsidRDefault="00C12A5B" w:rsidP="00C12A5B">
      <w:pPr>
        <w:pStyle w:val="ListParagraph"/>
        <w:numPr>
          <w:ilvl w:val="0"/>
          <w:numId w:val="0"/>
        </w:numPr>
        <w:spacing w:before="0" w:after="0" w:line="240" w:lineRule="auto"/>
        <w:ind w:left="357"/>
        <w:rPr>
          <w:sz w:val="22"/>
        </w:rPr>
      </w:pPr>
    </w:p>
    <w:p w14:paraId="744DEBB2" w14:textId="13785C2B" w:rsidR="0051335A" w:rsidRPr="00C12A5B" w:rsidRDefault="009453A2" w:rsidP="00C12A5B">
      <w:pPr>
        <w:pStyle w:val="ListParagraph"/>
        <w:numPr>
          <w:ilvl w:val="1"/>
          <w:numId w:val="8"/>
        </w:numPr>
        <w:spacing w:before="0" w:after="0" w:line="240" w:lineRule="auto"/>
        <w:rPr>
          <w:rFonts w:cs="Arial"/>
          <w:sz w:val="22"/>
        </w:rPr>
      </w:pPr>
      <w:r>
        <w:rPr>
          <w:rFonts w:cs="Arial"/>
          <w:sz w:val="22"/>
        </w:rPr>
        <w:t>Council L</w:t>
      </w:r>
      <w:r w:rsidRPr="00C12A5B">
        <w:rPr>
          <w:rFonts w:cs="Arial"/>
          <w:sz w:val="22"/>
        </w:rPr>
        <w:t>eaders</w:t>
      </w:r>
    </w:p>
    <w:p w14:paraId="744DEBB3" w14:textId="4664FA03" w:rsidR="0051335A" w:rsidRPr="00C12A5B" w:rsidRDefault="009453A2" w:rsidP="00C12A5B">
      <w:pPr>
        <w:pStyle w:val="ListParagraph"/>
        <w:numPr>
          <w:ilvl w:val="1"/>
          <w:numId w:val="8"/>
        </w:numPr>
        <w:spacing w:before="0" w:after="0" w:line="240" w:lineRule="auto"/>
        <w:rPr>
          <w:rFonts w:cs="Arial"/>
          <w:sz w:val="22"/>
        </w:rPr>
      </w:pPr>
      <w:r>
        <w:rPr>
          <w:rFonts w:cs="Arial"/>
          <w:sz w:val="22"/>
        </w:rPr>
        <w:t>Portfolio H</w:t>
      </w:r>
      <w:r w:rsidR="0051335A" w:rsidRPr="00C12A5B">
        <w:rPr>
          <w:rFonts w:cs="Arial"/>
          <w:sz w:val="22"/>
        </w:rPr>
        <w:t>olders</w:t>
      </w:r>
    </w:p>
    <w:p w14:paraId="744DEBB4" w14:textId="45C14663" w:rsidR="0051335A" w:rsidRPr="00C12A5B" w:rsidRDefault="0051335A" w:rsidP="00C12A5B">
      <w:pPr>
        <w:pStyle w:val="ListParagraph"/>
        <w:numPr>
          <w:ilvl w:val="1"/>
          <w:numId w:val="8"/>
        </w:numPr>
        <w:spacing w:before="0" w:after="0" w:line="240" w:lineRule="auto"/>
        <w:rPr>
          <w:rFonts w:cs="Arial"/>
          <w:sz w:val="22"/>
        </w:rPr>
      </w:pPr>
      <w:r w:rsidRPr="00C12A5B">
        <w:rPr>
          <w:rFonts w:cs="Arial"/>
          <w:sz w:val="22"/>
        </w:rPr>
        <w:t xml:space="preserve">Chairs of </w:t>
      </w:r>
      <w:r w:rsidR="009453A2">
        <w:rPr>
          <w:rFonts w:cs="Arial"/>
          <w:sz w:val="22"/>
        </w:rPr>
        <w:t>S</w:t>
      </w:r>
      <w:r w:rsidRPr="00C12A5B">
        <w:rPr>
          <w:rFonts w:cs="Arial"/>
          <w:sz w:val="22"/>
        </w:rPr>
        <w:t>crutiny</w:t>
      </w:r>
    </w:p>
    <w:p w14:paraId="744DEBB5" w14:textId="77777777" w:rsidR="0051335A" w:rsidRPr="00C12A5B" w:rsidRDefault="008E7BE3" w:rsidP="00C12A5B">
      <w:pPr>
        <w:pStyle w:val="ListParagraph"/>
        <w:numPr>
          <w:ilvl w:val="1"/>
          <w:numId w:val="8"/>
        </w:numPr>
        <w:spacing w:before="0" w:after="0" w:line="240" w:lineRule="auto"/>
        <w:rPr>
          <w:rFonts w:cs="Arial"/>
          <w:sz w:val="22"/>
        </w:rPr>
      </w:pPr>
      <w:r w:rsidRPr="00C12A5B">
        <w:rPr>
          <w:rFonts w:cs="Arial"/>
          <w:sz w:val="22"/>
        </w:rPr>
        <w:t>Front-line</w:t>
      </w:r>
      <w:r w:rsidR="0051335A" w:rsidRPr="00C12A5B">
        <w:rPr>
          <w:rFonts w:cs="Arial"/>
          <w:sz w:val="22"/>
        </w:rPr>
        <w:t xml:space="preserve"> councillors</w:t>
      </w:r>
    </w:p>
    <w:p w14:paraId="744DEBB6" w14:textId="36FD205A" w:rsidR="0051335A" w:rsidRPr="00C12A5B" w:rsidRDefault="00221FA5" w:rsidP="00C12A5B">
      <w:pPr>
        <w:pStyle w:val="ListParagraph"/>
        <w:numPr>
          <w:ilvl w:val="1"/>
          <w:numId w:val="8"/>
        </w:numPr>
        <w:spacing w:before="0" w:after="0" w:line="240" w:lineRule="auto"/>
        <w:rPr>
          <w:rFonts w:cs="Arial"/>
          <w:sz w:val="22"/>
        </w:rPr>
      </w:pPr>
      <w:r w:rsidRPr="00C12A5B">
        <w:rPr>
          <w:rFonts w:cs="Arial"/>
          <w:sz w:val="22"/>
        </w:rPr>
        <w:t xml:space="preserve">Chief </w:t>
      </w:r>
      <w:r w:rsidR="009453A2">
        <w:rPr>
          <w:rFonts w:cs="Arial"/>
          <w:sz w:val="22"/>
        </w:rPr>
        <w:t>E</w:t>
      </w:r>
      <w:r w:rsidRPr="00C12A5B">
        <w:rPr>
          <w:rFonts w:cs="Arial"/>
          <w:sz w:val="22"/>
        </w:rPr>
        <w:t>xecutives</w:t>
      </w:r>
    </w:p>
    <w:p w14:paraId="744DEBB7" w14:textId="77777777" w:rsidR="0051335A" w:rsidRPr="00C12A5B" w:rsidRDefault="00221FA5" w:rsidP="00C12A5B">
      <w:pPr>
        <w:pStyle w:val="ListParagraph"/>
        <w:numPr>
          <w:ilvl w:val="1"/>
          <w:numId w:val="8"/>
        </w:numPr>
        <w:spacing w:before="0" w:after="0" w:line="240" w:lineRule="auto"/>
        <w:rPr>
          <w:rFonts w:cs="Arial"/>
          <w:sz w:val="22"/>
        </w:rPr>
      </w:pPr>
      <w:r w:rsidRPr="00C12A5B">
        <w:rPr>
          <w:rFonts w:cs="Arial"/>
          <w:sz w:val="22"/>
        </w:rPr>
        <w:t>Directors</w:t>
      </w:r>
    </w:p>
    <w:p w14:paraId="1256BC65" w14:textId="77777777" w:rsidR="00C12A5B" w:rsidRDefault="00C12A5B" w:rsidP="008F3FDC">
      <w:pPr>
        <w:rPr>
          <w:sz w:val="22"/>
          <w:szCs w:val="22"/>
        </w:rPr>
      </w:pPr>
    </w:p>
    <w:p w14:paraId="744DEBB8" w14:textId="77777777" w:rsidR="00221FA5" w:rsidRDefault="0051335A" w:rsidP="00C12A5B">
      <w:pPr>
        <w:pStyle w:val="ListParagraph"/>
        <w:numPr>
          <w:ilvl w:val="0"/>
          <w:numId w:val="8"/>
        </w:numPr>
        <w:spacing w:before="0" w:after="0" w:line="240" w:lineRule="auto"/>
        <w:ind w:left="357"/>
        <w:rPr>
          <w:sz w:val="22"/>
        </w:rPr>
      </w:pPr>
      <w:r w:rsidRPr="00EA45BB">
        <w:rPr>
          <w:sz w:val="22"/>
        </w:rPr>
        <w:t xml:space="preserve">This </w:t>
      </w:r>
      <w:r w:rsidR="00C02891" w:rsidRPr="00EA45BB">
        <w:rPr>
          <w:sz w:val="22"/>
        </w:rPr>
        <w:t xml:space="preserve">has given a strong, representative sample allowing detailed </w:t>
      </w:r>
      <w:r w:rsidRPr="00EA45BB">
        <w:rPr>
          <w:sz w:val="22"/>
        </w:rPr>
        <w:t xml:space="preserve">analysis by role and region.  </w:t>
      </w:r>
      <w:r w:rsidR="00221FA5" w:rsidRPr="00EA45BB">
        <w:rPr>
          <w:sz w:val="22"/>
        </w:rPr>
        <w:t>Th</w:t>
      </w:r>
      <w:r w:rsidRPr="00EA45BB">
        <w:rPr>
          <w:sz w:val="22"/>
        </w:rPr>
        <w:t>e</w:t>
      </w:r>
      <w:r w:rsidR="00221FA5" w:rsidRPr="00EA45BB">
        <w:rPr>
          <w:sz w:val="22"/>
        </w:rPr>
        <w:t xml:space="preserve"> sample size has a maximum standard error of +/-3.</w:t>
      </w:r>
      <w:r w:rsidR="00D8124E" w:rsidRPr="00EA45BB">
        <w:rPr>
          <w:sz w:val="22"/>
        </w:rPr>
        <w:t>4</w:t>
      </w:r>
      <w:r w:rsidR="00221FA5" w:rsidRPr="00EA45BB">
        <w:rPr>
          <w:sz w:val="22"/>
        </w:rPr>
        <w:t>% at the 95% level of confidence, giving these findings a high level of accuracy.</w:t>
      </w:r>
      <w:r w:rsidR="00C02891" w:rsidRPr="00EA45BB">
        <w:rPr>
          <w:sz w:val="22"/>
        </w:rPr>
        <w:t xml:space="preserve">  </w:t>
      </w:r>
      <w:r w:rsidR="00221FA5" w:rsidRPr="00EA45BB">
        <w:rPr>
          <w:sz w:val="22"/>
        </w:rPr>
        <w:t xml:space="preserve">Interviews took </w:t>
      </w:r>
      <w:r w:rsidR="00EA45BB">
        <w:rPr>
          <w:sz w:val="22"/>
        </w:rPr>
        <w:t>no longer than 22</w:t>
      </w:r>
      <w:r w:rsidR="00221FA5" w:rsidRPr="00EA45BB">
        <w:rPr>
          <w:sz w:val="22"/>
        </w:rPr>
        <w:t xml:space="preserve"> minutes and explored:</w:t>
      </w:r>
    </w:p>
    <w:p w14:paraId="49114863" w14:textId="77777777" w:rsidR="00C12A5B" w:rsidRPr="00EA45BB" w:rsidRDefault="00C12A5B" w:rsidP="00C12A5B">
      <w:pPr>
        <w:pStyle w:val="ListParagraph"/>
        <w:numPr>
          <w:ilvl w:val="0"/>
          <w:numId w:val="0"/>
        </w:numPr>
        <w:spacing w:before="0" w:after="0" w:line="240" w:lineRule="auto"/>
        <w:ind w:left="357"/>
        <w:rPr>
          <w:sz w:val="22"/>
        </w:rPr>
      </w:pPr>
    </w:p>
    <w:p w14:paraId="744DEBB9" w14:textId="77777777" w:rsidR="00221FA5" w:rsidRPr="00C12A5B" w:rsidRDefault="0051335A" w:rsidP="00C12A5B">
      <w:pPr>
        <w:pStyle w:val="ListParagraph"/>
        <w:numPr>
          <w:ilvl w:val="1"/>
          <w:numId w:val="8"/>
        </w:numPr>
        <w:spacing w:before="0" w:after="0" w:line="240" w:lineRule="auto"/>
        <w:rPr>
          <w:rFonts w:cs="Arial"/>
          <w:sz w:val="22"/>
        </w:rPr>
      </w:pPr>
      <w:r w:rsidRPr="00C12A5B">
        <w:rPr>
          <w:rFonts w:cs="Arial"/>
          <w:sz w:val="22"/>
        </w:rPr>
        <w:t xml:space="preserve">Our </w:t>
      </w:r>
      <w:r w:rsidR="00221FA5" w:rsidRPr="00C12A5B">
        <w:rPr>
          <w:rFonts w:cs="Arial"/>
          <w:sz w:val="22"/>
        </w:rPr>
        <w:t xml:space="preserve">offer and current provision; </w:t>
      </w:r>
    </w:p>
    <w:p w14:paraId="744DEBBA" w14:textId="77777777" w:rsidR="00221FA5" w:rsidRPr="00C12A5B" w:rsidRDefault="0051335A" w:rsidP="00C12A5B">
      <w:pPr>
        <w:pStyle w:val="ListParagraph"/>
        <w:numPr>
          <w:ilvl w:val="1"/>
          <w:numId w:val="8"/>
        </w:numPr>
        <w:spacing w:before="0" w:after="0" w:line="240" w:lineRule="auto"/>
        <w:rPr>
          <w:rFonts w:cs="Arial"/>
          <w:sz w:val="22"/>
        </w:rPr>
      </w:pPr>
      <w:r w:rsidRPr="00C12A5B">
        <w:rPr>
          <w:rFonts w:cs="Arial"/>
          <w:sz w:val="22"/>
        </w:rPr>
        <w:t xml:space="preserve">Our </w:t>
      </w:r>
      <w:r w:rsidR="00221FA5" w:rsidRPr="00C12A5B">
        <w:rPr>
          <w:rFonts w:cs="Arial"/>
          <w:sz w:val="22"/>
        </w:rPr>
        <w:t>current role and priorities an</w:t>
      </w:r>
      <w:r w:rsidRPr="00C12A5B">
        <w:rPr>
          <w:rFonts w:cs="Arial"/>
          <w:sz w:val="22"/>
        </w:rPr>
        <w:t>d</w:t>
      </w:r>
      <w:r w:rsidR="00221FA5" w:rsidRPr="00C12A5B">
        <w:rPr>
          <w:rFonts w:cs="Arial"/>
          <w:sz w:val="22"/>
        </w:rPr>
        <w:t xml:space="preserve"> how these can be developed; </w:t>
      </w:r>
    </w:p>
    <w:p w14:paraId="744DEBBB" w14:textId="77777777" w:rsidR="00221FA5" w:rsidRPr="00C12A5B" w:rsidRDefault="00B1146E" w:rsidP="00C12A5B">
      <w:pPr>
        <w:pStyle w:val="ListParagraph"/>
        <w:numPr>
          <w:ilvl w:val="1"/>
          <w:numId w:val="8"/>
        </w:numPr>
        <w:spacing w:before="0" w:after="0" w:line="240" w:lineRule="auto"/>
        <w:rPr>
          <w:rFonts w:cs="Arial"/>
          <w:sz w:val="22"/>
        </w:rPr>
      </w:pPr>
      <w:r w:rsidRPr="00C12A5B">
        <w:rPr>
          <w:rFonts w:cs="Arial"/>
          <w:sz w:val="22"/>
        </w:rPr>
        <w:t>E</w:t>
      </w:r>
      <w:r w:rsidR="0051335A" w:rsidRPr="00C12A5B">
        <w:rPr>
          <w:rFonts w:cs="Arial"/>
          <w:sz w:val="22"/>
        </w:rPr>
        <w:t xml:space="preserve">ffectiveness of our </w:t>
      </w:r>
      <w:r w:rsidR="00221FA5" w:rsidRPr="00C12A5B">
        <w:rPr>
          <w:rFonts w:cs="Arial"/>
          <w:sz w:val="22"/>
        </w:rPr>
        <w:t xml:space="preserve">communications and preferred methods of engagement; and </w:t>
      </w:r>
    </w:p>
    <w:p w14:paraId="744DEBBC" w14:textId="77777777" w:rsidR="007D692C" w:rsidRPr="00C12A5B" w:rsidRDefault="00B1146E" w:rsidP="00C12A5B">
      <w:pPr>
        <w:pStyle w:val="ListParagraph"/>
        <w:numPr>
          <w:ilvl w:val="1"/>
          <w:numId w:val="8"/>
        </w:numPr>
        <w:spacing w:before="0" w:after="0" w:line="240" w:lineRule="auto"/>
        <w:rPr>
          <w:rFonts w:cs="Arial"/>
          <w:sz w:val="22"/>
        </w:rPr>
      </w:pPr>
      <w:r w:rsidRPr="00C12A5B">
        <w:rPr>
          <w:rFonts w:cs="Arial"/>
          <w:sz w:val="22"/>
        </w:rPr>
        <w:t>S</w:t>
      </w:r>
      <w:r w:rsidR="00221FA5" w:rsidRPr="00C12A5B">
        <w:rPr>
          <w:rFonts w:cs="Arial"/>
          <w:sz w:val="22"/>
        </w:rPr>
        <w:t xml:space="preserve">ector-led improvement within local government, </w:t>
      </w:r>
      <w:r w:rsidR="0051335A" w:rsidRPr="00C12A5B">
        <w:rPr>
          <w:rFonts w:cs="Arial"/>
          <w:sz w:val="22"/>
        </w:rPr>
        <w:t xml:space="preserve">our </w:t>
      </w:r>
      <w:r w:rsidR="00221FA5" w:rsidRPr="00C12A5B">
        <w:rPr>
          <w:rFonts w:cs="Arial"/>
          <w:sz w:val="22"/>
        </w:rPr>
        <w:t xml:space="preserve">support offered </w:t>
      </w:r>
      <w:r w:rsidR="00F452EA" w:rsidRPr="00C12A5B">
        <w:rPr>
          <w:rFonts w:cs="Arial"/>
          <w:sz w:val="22"/>
        </w:rPr>
        <w:t xml:space="preserve">to </w:t>
      </w:r>
      <w:r w:rsidR="00221FA5" w:rsidRPr="00C12A5B">
        <w:rPr>
          <w:rFonts w:cs="Arial"/>
          <w:sz w:val="22"/>
        </w:rPr>
        <w:t xml:space="preserve">members </w:t>
      </w:r>
      <w:r w:rsidR="0051335A" w:rsidRPr="00C12A5B">
        <w:rPr>
          <w:rFonts w:cs="Arial"/>
          <w:sz w:val="22"/>
        </w:rPr>
        <w:t>and</w:t>
      </w:r>
      <w:r w:rsidR="00221FA5" w:rsidRPr="00C12A5B">
        <w:rPr>
          <w:rFonts w:cs="Arial"/>
          <w:sz w:val="22"/>
        </w:rPr>
        <w:t xml:space="preserve"> how it can be developed/improved.</w:t>
      </w:r>
    </w:p>
    <w:p w14:paraId="744DEBBD" w14:textId="77777777" w:rsidR="007D692C" w:rsidRDefault="007D692C" w:rsidP="001361C1">
      <w:pPr>
        <w:pStyle w:val="Caption"/>
        <w:rPr>
          <w:rFonts w:cs="Arial"/>
          <w:sz w:val="22"/>
          <w:szCs w:val="22"/>
        </w:rPr>
      </w:pPr>
    </w:p>
    <w:p w14:paraId="744DEBBE" w14:textId="18A8E44D" w:rsidR="001361C1" w:rsidRDefault="001361C1" w:rsidP="001361C1">
      <w:pPr>
        <w:pStyle w:val="Caption"/>
        <w:rPr>
          <w:rFonts w:cs="Arial"/>
          <w:sz w:val="22"/>
          <w:szCs w:val="22"/>
        </w:rPr>
      </w:pPr>
      <w:r>
        <w:rPr>
          <w:rFonts w:cs="Arial"/>
          <w:sz w:val="22"/>
          <w:szCs w:val="22"/>
        </w:rPr>
        <w:t>Response rates</w:t>
      </w:r>
    </w:p>
    <w:p w14:paraId="367BA858" w14:textId="77777777" w:rsidR="00DD78A8" w:rsidRPr="00DD78A8" w:rsidRDefault="00DD78A8" w:rsidP="00DD78A8"/>
    <w:p w14:paraId="744DEBBF" w14:textId="0C8F0C0D" w:rsidR="001361C1" w:rsidRPr="00C20C86" w:rsidRDefault="001361C1" w:rsidP="00C20C86">
      <w:pPr>
        <w:pStyle w:val="ListParagraph"/>
        <w:numPr>
          <w:ilvl w:val="0"/>
          <w:numId w:val="8"/>
        </w:numPr>
        <w:spacing w:before="0" w:after="0" w:line="240" w:lineRule="auto"/>
        <w:ind w:left="357"/>
        <w:rPr>
          <w:sz w:val="22"/>
        </w:rPr>
      </w:pPr>
      <w:r>
        <w:rPr>
          <w:sz w:val="22"/>
        </w:rPr>
        <w:t>Each year, it has been increasingly more difficult to engage members and officer</w:t>
      </w:r>
      <w:r w:rsidR="00C20C86">
        <w:rPr>
          <w:sz w:val="22"/>
        </w:rPr>
        <w:t>s to take part in the survey; l</w:t>
      </w:r>
      <w:r w:rsidRPr="00C20C86">
        <w:rPr>
          <w:sz w:val="22"/>
        </w:rPr>
        <w:t>ack of time available is the most frequent response.  Although an annual survey allows us to take prompt action should the results show any significant issues for our member councils, Leadership Board may wish to consid</w:t>
      </w:r>
      <w:r w:rsidR="00FD0624" w:rsidRPr="00C20C86">
        <w:rPr>
          <w:sz w:val="22"/>
        </w:rPr>
        <w:t>er moving to a bi</w:t>
      </w:r>
      <w:r w:rsidR="007D692C" w:rsidRPr="00C20C86">
        <w:rPr>
          <w:sz w:val="22"/>
        </w:rPr>
        <w:t>ennial</w:t>
      </w:r>
      <w:r w:rsidR="00FD0624" w:rsidRPr="00C20C86">
        <w:rPr>
          <w:sz w:val="22"/>
        </w:rPr>
        <w:t xml:space="preserve"> survey</w:t>
      </w:r>
      <w:r w:rsidR="008E7BE3" w:rsidRPr="00C20C86">
        <w:rPr>
          <w:sz w:val="22"/>
        </w:rPr>
        <w:t>.</w:t>
      </w:r>
    </w:p>
    <w:p w14:paraId="744DEBC0" w14:textId="77777777" w:rsidR="001361C1" w:rsidRDefault="001361C1" w:rsidP="00DD78A8">
      <w:pPr>
        <w:pStyle w:val="ListParagraph"/>
        <w:numPr>
          <w:ilvl w:val="0"/>
          <w:numId w:val="0"/>
        </w:numPr>
        <w:spacing w:before="0" w:after="0" w:line="240" w:lineRule="auto"/>
        <w:ind w:left="357"/>
        <w:rPr>
          <w:sz w:val="22"/>
        </w:rPr>
      </w:pPr>
    </w:p>
    <w:p w14:paraId="744DEBC1" w14:textId="77777777" w:rsidR="001361C1" w:rsidRPr="00DD78A8" w:rsidRDefault="001361C1" w:rsidP="00DD78A8">
      <w:pPr>
        <w:pStyle w:val="ListParagraph"/>
        <w:numPr>
          <w:ilvl w:val="0"/>
          <w:numId w:val="8"/>
        </w:numPr>
        <w:spacing w:before="0" w:after="0" w:line="240" w:lineRule="auto"/>
        <w:ind w:left="357"/>
        <w:rPr>
          <w:sz w:val="22"/>
        </w:rPr>
      </w:pPr>
      <w:r w:rsidRPr="00DD78A8">
        <w:rPr>
          <w:sz w:val="22"/>
        </w:rPr>
        <w:t xml:space="preserve">Another alternative is to conduct an annual survey using a mixed mode of research.  This would supplement our existing phone polling with on-line.  This has </w:t>
      </w:r>
      <w:r w:rsidR="00E75AF7" w:rsidRPr="00DD78A8">
        <w:rPr>
          <w:sz w:val="22"/>
        </w:rPr>
        <w:t xml:space="preserve">the </w:t>
      </w:r>
      <w:r w:rsidRPr="00DD78A8">
        <w:rPr>
          <w:sz w:val="22"/>
        </w:rPr>
        <w:t>advantage of increasing participation and improving the quality of responses, by engaging with respondents through devices that are most convenient to them.</w:t>
      </w:r>
    </w:p>
    <w:p w14:paraId="744DEBC2" w14:textId="77777777" w:rsidR="001361C1" w:rsidRPr="00DD78A8" w:rsidRDefault="001361C1" w:rsidP="00DD78A8">
      <w:pPr>
        <w:pStyle w:val="ListParagraph"/>
        <w:numPr>
          <w:ilvl w:val="0"/>
          <w:numId w:val="0"/>
        </w:numPr>
        <w:spacing w:before="0" w:after="0" w:line="240" w:lineRule="auto"/>
        <w:ind w:left="357"/>
        <w:rPr>
          <w:sz w:val="22"/>
        </w:rPr>
      </w:pPr>
    </w:p>
    <w:p w14:paraId="744DEBC3" w14:textId="77777777" w:rsidR="001361C1" w:rsidRPr="00DD78A8" w:rsidRDefault="00E75AF7" w:rsidP="00DD78A8">
      <w:pPr>
        <w:pStyle w:val="ListParagraph"/>
        <w:numPr>
          <w:ilvl w:val="0"/>
          <w:numId w:val="8"/>
        </w:numPr>
        <w:spacing w:before="0" w:after="0" w:line="240" w:lineRule="auto"/>
        <w:ind w:left="357"/>
        <w:rPr>
          <w:sz w:val="22"/>
        </w:rPr>
      </w:pPr>
      <w:r w:rsidRPr="00DD78A8">
        <w:rPr>
          <w:sz w:val="22"/>
        </w:rPr>
        <w:t>As changes in method</w:t>
      </w:r>
      <w:r w:rsidR="008C2DDE" w:rsidRPr="00DD78A8">
        <w:rPr>
          <w:sz w:val="22"/>
        </w:rPr>
        <w:t>ology</w:t>
      </w:r>
      <w:r w:rsidRPr="00DD78A8">
        <w:rPr>
          <w:sz w:val="22"/>
        </w:rPr>
        <w:t xml:space="preserve"> can result in skewed results, any impacts on results</w:t>
      </w:r>
      <w:r w:rsidR="001361C1" w:rsidRPr="00DD78A8">
        <w:rPr>
          <w:sz w:val="22"/>
        </w:rPr>
        <w:t xml:space="preserve"> would be mitigated through a weighting process. </w:t>
      </w:r>
      <w:r w:rsidR="008C2DDE" w:rsidRPr="00DD78A8">
        <w:rPr>
          <w:sz w:val="22"/>
        </w:rPr>
        <w:t xml:space="preserve">However, if results differ significantly from previous years, there is a slight risk that this would be as a result of the change in methodology and therefore would not allow direct comparison. </w:t>
      </w:r>
    </w:p>
    <w:p w14:paraId="744DEBC4" w14:textId="5B8F0906" w:rsidR="00001EEF" w:rsidRDefault="00001EEF">
      <w:pPr>
        <w:rPr>
          <w:rFonts w:cs="Arial"/>
          <w:b/>
          <w:bCs/>
          <w:sz w:val="22"/>
          <w:szCs w:val="22"/>
        </w:rPr>
      </w:pPr>
      <w:r>
        <w:rPr>
          <w:rFonts w:cs="Arial"/>
          <w:sz w:val="22"/>
          <w:szCs w:val="22"/>
        </w:rPr>
        <w:br w:type="page"/>
      </w:r>
    </w:p>
    <w:p w14:paraId="195A0F49" w14:textId="77777777" w:rsidR="00000973" w:rsidRDefault="00000973" w:rsidP="00F634D7">
      <w:pPr>
        <w:pStyle w:val="Caption"/>
        <w:rPr>
          <w:rFonts w:cs="Arial"/>
          <w:sz w:val="22"/>
          <w:szCs w:val="22"/>
        </w:rPr>
      </w:pPr>
    </w:p>
    <w:p w14:paraId="744DEBC6" w14:textId="77777777" w:rsidR="0087493D" w:rsidRPr="004F4852" w:rsidRDefault="00DE4842" w:rsidP="00F634D7">
      <w:pPr>
        <w:pStyle w:val="Caption"/>
        <w:rPr>
          <w:rFonts w:cs="Arial"/>
          <w:sz w:val="22"/>
          <w:szCs w:val="22"/>
        </w:rPr>
      </w:pPr>
      <w:r w:rsidRPr="00B61D2E">
        <w:rPr>
          <w:rFonts w:cs="Arial"/>
          <w:sz w:val="22"/>
          <w:szCs w:val="22"/>
        </w:rPr>
        <w:t xml:space="preserve">Table </w:t>
      </w:r>
      <w:r w:rsidRPr="004F4852">
        <w:rPr>
          <w:rFonts w:cs="Arial"/>
          <w:sz w:val="22"/>
          <w:szCs w:val="22"/>
        </w:rPr>
        <w:fldChar w:fldCharType="begin"/>
      </w:r>
      <w:r w:rsidRPr="004F4852">
        <w:rPr>
          <w:rFonts w:cs="Arial"/>
          <w:sz w:val="22"/>
          <w:szCs w:val="22"/>
        </w:rPr>
        <w:instrText xml:space="preserve"> SEQ Table \* ARABIC </w:instrText>
      </w:r>
      <w:r w:rsidRPr="004F4852">
        <w:rPr>
          <w:rFonts w:cs="Arial"/>
          <w:sz w:val="22"/>
          <w:szCs w:val="22"/>
        </w:rPr>
        <w:fldChar w:fldCharType="separate"/>
      </w:r>
      <w:r w:rsidR="00242808">
        <w:rPr>
          <w:rFonts w:cs="Arial"/>
          <w:noProof/>
          <w:sz w:val="22"/>
          <w:szCs w:val="22"/>
        </w:rPr>
        <w:t>2</w:t>
      </w:r>
      <w:r w:rsidRPr="004F4852">
        <w:rPr>
          <w:rFonts w:cs="Arial"/>
          <w:sz w:val="22"/>
          <w:szCs w:val="22"/>
        </w:rPr>
        <w:fldChar w:fldCharType="end"/>
      </w:r>
      <w:r w:rsidRPr="004F4852">
        <w:rPr>
          <w:rFonts w:cs="Arial"/>
          <w:sz w:val="22"/>
          <w:szCs w:val="22"/>
        </w:rPr>
        <w:t xml:space="preserve"> - Respondents, by region, role and amalgamated role type</w:t>
      </w:r>
    </w:p>
    <w:tbl>
      <w:tblPr>
        <w:tblStyle w:val="LightList1"/>
        <w:tblW w:w="10065" w:type="dxa"/>
        <w:tblInd w:w="-869" w:type="dxa"/>
        <w:tblBorders>
          <w:top w:val="single" w:sz="8" w:space="0" w:color="91278F"/>
          <w:left w:val="single" w:sz="8" w:space="0" w:color="91278F"/>
          <w:bottom w:val="single" w:sz="8" w:space="0" w:color="91278F"/>
          <w:right w:val="single" w:sz="8" w:space="0" w:color="91278F"/>
          <w:insideH w:val="single" w:sz="8" w:space="0" w:color="91278F"/>
          <w:insideV w:val="single" w:sz="8" w:space="0" w:color="91278F"/>
        </w:tblBorders>
        <w:tblLayout w:type="fixed"/>
        <w:tblLook w:val="0000" w:firstRow="0" w:lastRow="0" w:firstColumn="0" w:lastColumn="0" w:noHBand="0" w:noVBand="0"/>
      </w:tblPr>
      <w:tblGrid>
        <w:gridCol w:w="1701"/>
        <w:gridCol w:w="1276"/>
        <w:gridCol w:w="1134"/>
        <w:gridCol w:w="1134"/>
        <w:gridCol w:w="1134"/>
        <w:gridCol w:w="1134"/>
        <w:gridCol w:w="1418"/>
        <w:gridCol w:w="1134"/>
      </w:tblGrid>
      <w:tr w:rsidR="00901C69" w:rsidRPr="004F4852" w14:paraId="744DEBCD" w14:textId="77777777" w:rsidTr="00F634D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91278F"/>
            <w:vAlign w:val="bottom"/>
          </w:tcPr>
          <w:p w14:paraId="744DEBC7" w14:textId="77777777" w:rsidR="00901C69" w:rsidRPr="004F4852" w:rsidRDefault="00901C69" w:rsidP="00F634D7">
            <w:pPr>
              <w:autoSpaceDE w:val="0"/>
              <w:autoSpaceDN w:val="0"/>
              <w:adjustRightInd w:val="0"/>
              <w:jc w:val="center"/>
              <w:rPr>
                <w:rFonts w:cs="Arial"/>
                <w:b/>
                <w:color w:val="FFFFFF"/>
                <w:sz w:val="20"/>
              </w:rPr>
            </w:pPr>
            <w:r w:rsidRPr="004F4852">
              <w:rPr>
                <w:rFonts w:cs="Arial"/>
                <w:b/>
                <w:color w:val="FFFFFF"/>
                <w:sz w:val="20"/>
              </w:rPr>
              <w:t>Amalgamated role</w:t>
            </w:r>
          </w:p>
        </w:tc>
        <w:tc>
          <w:tcPr>
            <w:tcW w:w="2410" w:type="dxa"/>
            <w:gridSpan w:val="2"/>
            <w:tcBorders>
              <w:top w:val="none" w:sz="0" w:space="0" w:color="auto"/>
              <w:bottom w:val="none" w:sz="0" w:space="0" w:color="auto"/>
            </w:tcBorders>
            <w:shd w:val="clear" w:color="auto" w:fill="91278F"/>
            <w:vAlign w:val="bottom"/>
          </w:tcPr>
          <w:p w14:paraId="744DEBC8" w14:textId="77777777" w:rsidR="00901C69" w:rsidRPr="004F4852" w:rsidRDefault="00901C69" w:rsidP="00F634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color w:val="FFFFFF"/>
                <w:sz w:val="20"/>
              </w:rPr>
            </w:pPr>
            <w:r w:rsidRPr="004F4852">
              <w:rPr>
                <w:rFonts w:cs="Arial"/>
                <w:b/>
                <w:color w:val="FFFFFF"/>
                <w:sz w:val="20"/>
              </w:rPr>
              <w:t>Officers</w:t>
            </w:r>
          </w:p>
        </w:tc>
        <w:tc>
          <w:tcPr>
            <w:cnfStyle w:val="000010000000" w:firstRow="0" w:lastRow="0" w:firstColumn="0" w:lastColumn="0" w:oddVBand="1" w:evenVBand="0" w:oddHBand="0" w:evenHBand="0" w:firstRowFirstColumn="0" w:firstRowLastColumn="0" w:lastRowFirstColumn="0" w:lastRowLastColumn="0"/>
            <w:tcW w:w="3402" w:type="dxa"/>
            <w:gridSpan w:val="3"/>
            <w:tcBorders>
              <w:top w:val="none" w:sz="0" w:space="0" w:color="auto"/>
              <w:left w:val="none" w:sz="0" w:space="0" w:color="auto"/>
              <w:bottom w:val="none" w:sz="0" w:space="0" w:color="auto"/>
              <w:right w:val="none" w:sz="0" w:space="0" w:color="auto"/>
            </w:tcBorders>
            <w:shd w:val="clear" w:color="auto" w:fill="91278F"/>
            <w:vAlign w:val="bottom"/>
          </w:tcPr>
          <w:p w14:paraId="744DEBC9" w14:textId="77777777" w:rsidR="00901C69" w:rsidRPr="004F4852" w:rsidRDefault="00901C69" w:rsidP="00F634D7">
            <w:pPr>
              <w:autoSpaceDE w:val="0"/>
              <w:autoSpaceDN w:val="0"/>
              <w:adjustRightInd w:val="0"/>
              <w:jc w:val="center"/>
              <w:rPr>
                <w:rFonts w:cs="Arial"/>
                <w:b/>
                <w:color w:val="FFFFFF"/>
                <w:sz w:val="20"/>
              </w:rPr>
            </w:pPr>
            <w:r w:rsidRPr="004F4852">
              <w:rPr>
                <w:rFonts w:cs="Arial"/>
                <w:b/>
                <w:color w:val="FFFFFF"/>
                <w:sz w:val="20"/>
                <w:lang w:val="en-GB"/>
              </w:rPr>
              <w:t>Councillors</w:t>
            </w:r>
          </w:p>
        </w:tc>
        <w:tc>
          <w:tcPr>
            <w:tcW w:w="1418" w:type="dxa"/>
            <w:tcBorders>
              <w:top w:val="none" w:sz="0" w:space="0" w:color="auto"/>
              <w:bottom w:val="none" w:sz="0" w:space="0" w:color="auto"/>
            </w:tcBorders>
            <w:shd w:val="clear" w:color="auto" w:fill="91278F"/>
            <w:vAlign w:val="bottom"/>
          </w:tcPr>
          <w:p w14:paraId="744DEBCA" w14:textId="77777777" w:rsidR="00901C69" w:rsidRPr="004F4852" w:rsidRDefault="00901C69" w:rsidP="008E7BE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color w:val="FFFFFF"/>
                <w:sz w:val="20"/>
              </w:rPr>
            </w:pPr>
            <w:r w:rsidRPr="004F4852">
              <w:rPr>
                <w:rFonts w:cs="Arial"/>
                <w:b/>
                <w:color w:val="FFFFFF"/>
                <w:sz w:val="20"/>
              </w:rPr>
              <w:t xml:space="preserve"> </w:t>
            </w:r>
          </w:p>
        </w:tc>
        <w:tc>
          <w:tcPr>
            <w:cnfStyle w:val="000010000000" w:firstRow="0" w:lastRow="0" w:firstColumn="0" w:lastColumn="0" w:oddVBand="1" w:evenVBand="0" w:oddHBand="0" w:evenHBand="0" w:firstRowFirstColumn="0" w:firstRowLastColumn="0" w:lastRowFirstColumn="0" w:lastRowLastColumn="0"/>
            <w:tcW w:w="1134" w:type="dxa"/>
            <w:vMerge w:val="restart"/>
            <w:tcBorders>
              <w:top w:val="none" w:sz="0" w:space="0" w:color="auto"/>
              <w:left w:val="none" w:sz="0" w:space="0" w:color="auto"/>
              <w:bottom w:val="none" w:sz="0" w:space="0" w:color="auto"/>
              <w:right w:val="none" w:sz="0" w:space="0" w:color="auto"/>
            </w:tcBorders>
            <w:shd w:val="clear" w:color="auto" w:fill="91278F"/>
            <w:vAlign w:val="center"/>
          </w:tcPr>
          <w:p w14:paraId="744DEBCB" w14:textId="77777777" w:rsidR="00F634D7" w:rsidRPr="004F4852" w:rsidRDefault="00F634D7" w:rsidP="00F634D7">
            <w:pPr>
              <w:autoSpaceDE w:val="0"/>
              <w:autoSpaceDN w:val="0"/>
              <w:adjustRightInd w:val="0"/>
              <w:jc w:val="center"/>
              <w:rPr>
                <w:rFonts w:cs="Arial"/>
                <w:b/>
                <w:color w:val="FFFFFF"/>
                <w:sz w:val="20"/>
              </w:rPr>
            </w:pPr>
            <w:r w:rsidRPr="004F4852">
              <w:rPr>
                <w:rFonts w:cs="Arial"/>
                <w:b/>
                <w:color w:val="FFFFFF"/>
                <w:sz w:val="20"/>
              </w:rPr>
              <w:t>Regional</w:t>
            </w:r>
          </w:p>
          <w:p w14:paraId="744DEBCC" w14:textId="77777777" w:rsidR="00901C69" w:rsidRPr="004F4852" w:rsidRDefault="00F634D7" w:rsidP="00F634D7">
            <w:pPr>
              <w:autoSpaceDE w:val="0"/>
              <w:autoSpaceDN w:val="0"/>
              <w:adjustRightInd w:val="0"/>
              <w:jc w:val="center"/>
              <w:rPr>
                <w:rFonts w:cs="Arial"/>
                <w:b/>
                <w:color w:val="FFFFFF"/>
                <w:sz w:val="20"/>
              </w:rPr>
            </w:pPr>
            <w:r w:rsidRPr="004F4852">
              <w:rPr>
                <w:rFonts w:cs="Arial"/>
                <w:b/>
                <w:color w:val="FFFFFF"/>
                <w:sz w:val="20"/>
              </w:rPr>
              <w:t>Total</w:t>
            </w:r>
          </w:p>
        </w:tc>
      </w:tr>
      <w:tr w:rsidR="00F634D7" w:rsidRPr="004F4852" w14:paraId="744DEBD7" w14:textId="77777777" w:rsidTr="00F634D7">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CEA8D2"/>
          </w:tcPr>
          <w:p w14:paraId="744DEBCE" w14:textId="77777777" w:rsidR="00901C69" w:rsidRPr="004F4852" w:rsidRDefault="00901C69" w:rsidP="00CC561C">
            <w:pPr>
              <w:autoSpaceDE w:val="0"/>
              <w:autoSpaceDN w:val="0"/>
              <w:adjustRightInd w:val="0"/>
              <w:jc w:val="right"/>
              <w:rPr>
                <w:rFonts w:cs="Arial"/>
                <w:b/>
                <w:sz w:val="20"/>
              </w:rPr>
            </w:pPr>
            <w:r w:rsidRPr="004F4852">
              <w:rPr>
                <w:rFonts w:cs="Arial"/>
                <w:b/>
                <w:sz w:val="20"/>
              </w:rPr>
              <w:t>Role</w:t>
            </w:r>
          </w:p>
        </w:tc>
        <w:tc>
          <w:tcPr>
            <w:tcW w:w="1276" w:type="dxa"/>
            <w:shd w:val="clear" w:color="auto" w:fill="CEA8D2"/>
          </w:tcPr>
          <w:p w14:paraId="744DEBCF" w14:textId="77777777" w:rsidR="00901C69" w:rsidRPr="004F4852" w:rsidRDefault="00901C69"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4F4852">
              <w:rPr>
                <w:rFonts w:cs="Arial"/>
                <w:b/>
                <w:sz w:val="20"/>
              </w:rPr>
              <w:t>Chief Executives</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CEA8D2"/>
          </w:tcPr>
          <w:p w14:paraId="744DEBD0" w14:textId="77777777" w:rsidR="00901C69" w:rsidRPr="004F4852" w:rsidRDefault="00901C69" w:rsidP="00CC561C">
            <w:pPr>
              <w:autoSpaceDE w:val="0"/>
              <w:autoSpaceDN w:val="0"/>
              <w:adjustRightInd w:val="0"/>
              <w:jc w:val="center"/>
              <w:rPr>
                <w:rFonts w:cs="Arial"/>
                <w:b/>
                <w:sz w:val="20"/>
              </w:rPr>
            </w:pPr>
            <w:r w:rsidRPr="004F4852">
              <w:rPr>
                <w:rFonts w:cs="Arial"/>
                <w:b/>
                <w:sz w:val="20"/>
              </w:rPr>
              <w:t>Directors</w:t>
            </w:r>
          </w:p>
        </w:tc>
        <w:tc>
          <w:tcPr>
            <w:tcW w:w="1134" w:type="dxa"/>
            <w:shd w:val="clear" w:color="auto" w:fill="CEA8D2"/>
          </w:tcPr>
          <w:p w14:paraId="744DEBD1" w14:textId="77777777" w:rsidR="00901C69" w:rsidRPr="004F4852" w:rsidRDefault="00901C69"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4F4852">
              <w:rPr>
                <w:rFonts w:cs="Arial"/>
                <w:b/>
                <w:sz w:val="20"/>
              </w:rPr>
              <w:t>Leaders</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CEA8D2"/>
          </w:tcPr>
          <w:p w14:paraId="744DEBD2" w14:textId="77777777" w:rsidR="00901C69" w:rsidRPr="004F4852" w:rsidRDefault="00901C69" w:rsidP="00CC561C">
            <w:pPr>
              <w:autoSpaceDE w:val="0"/>
              <w:autoSpaceDN w:val="0"/>
              <w:adjustRightInd w:val="0"/>
              <w:jc w:val="center"/>
              <w:rPr>
                <w:rFonts w:cs="Arial"/>
                <w:b/>
                <w:sz w:val="20"/>
              </w:rPr>
            </w:pPr>
            <w:r w:rsidRPr="004F4852">
              <w:rPr>
                <w:rFonts w:cs="Arial"/>
                <w:b/>
                <w:sz w:val="20"/>
              </w:rPr>
              <w:t>Chairs of Scrutiny</w:t>
            </w:r>
          </w:p>
        </w:tc>
        <w:tc>
          <w:tcPr>
            <w:tcW w:w="1134" w:type="dxa"/>
            <w:shd w:val="clear" w:color="auto" w:fill="CEA8D2"/>
          </w:tcPr>
          <w:p w14:paraId="744DEBD3" w14:textId="77777777" w:rsidR="00901C69" w:rsidRPr="004F4852" w:rsidRDefault="00901C69"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4F4852">
              <w:rPr>
                <w:rFonts w:cs="Arial"/>
                <w:b/>
                <w:sz w:val="20"/>
              </w:rPr>
              <w:t>Portfolio Holders</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shd w:val="clear" w:color="auto" w:fill="CEA8D2"/>
          </w:tcPr>
          <w:p w14:paraId="744DEBD4" w14:textId="77777777" w:rsidR="00901C69" w:rsidRPr="004F4852" w:rsidRDefault="008E7BE3" w:rsidP="00CC561C">
            <w:pPr>
              <w:autoSpaceDE w:val="0"/>
              <w:autoSpaceDN w:val="0"/>
              <w:adjustRightInd w:val="0"/>
              <w:jc w:val="center"/>
              <w:rPr>
                <w:rFonts w:cs="Arial"/>
                <w:b/>
                <w:sz w:val="20"/>
              </w:rPr>
            </w:pPr>
            <w:r>
              <w:rPr>
                <w:rFonts w:cs="Arial"/>
                <w:b/>
                <w:sz w:val="20"/>
              </w:rPr>
              <w:t>Front-line</w:t>
            </w:r>
          </w:p>
          <w:p w14:paraId="744DEBD5" w14:textId="77777777" w:rsidR="00901C69" w:rsidRPr="004F4852" w:rsidRDefault="00901C69" w:rsidP="00CC561C">
            <w:pPr>
              <w:autoSpaceDE w:val="0"/>
              <w:autoSpaceDN w:val="0"/>
              <w:adjustRightInd w:val="0"/>
              <w:jc w:val="center"/>
              <w:rPr>
                <w:rFonts w:cs="Arial"/>
                <w:b/>
                <w:sz w:val="20"/>
              </w:rPr>
            </w:pPr>
            <w:r w:rsidRPr="004F4852">
              <w:rPr>
                <w:rFonts w:cs="Arial"/>
                <w:b/>
                <w:sz w:val="20"/>
                <w:lang w:val="en-GB"/>
              </w:rPr>
              <w:t>Councillors</w:t>
            </w:r>
          </w:p>
        </w:tc>
        <w:tc>
          <w:tcPr>
            <w:tcW w:w="1134" w:type="dxa"/>
            <w:vMerge/>
            <w:shd w:val="clear" w:color="auto" w:fill="CEA8D2"/>
          </w:tcPr>
          <w:p w14:paraId="744DEBD6" w14:textId="77777777" w:rsidR="00901C69" w:rsidRPr="004F4852" w:rsidRDefault="00901C69"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20"/>
              </w:rPr>
            </w:pPr>
          </w:p>
        </w:tc>
      </w:tr>
      <w:tr w:rsidR="00901C69" w:rsidRPr="004F4852" w14:paraId="744DEBE1" w14:textId="77777777" w:rsidTr="00F634D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744DEBD8" w14:textId="77777777" w:rsidR="00901C69" w:rsidRPr="004F4852" w:rsidRDefault="00901C69" w:rsidP="00CC561C">
            <w:pPr>
              <w:autoSpaceDE w:val="0"/>
              <w:autoSpaceDN w:val="0"/>
              <w:adjustRightInd w:val="0"/>
              <w:jc w:val="right"/>
              <w:rPr>
                <w:rFonts w:cs="Arial"/>
                <w:color w:val="000000"/>
                <w:sz w:val="20"/>
              </w:rPr>
            </w:pPr>
            <w:r w:rsidRPr="004F4852">
              <w:rPr>
                <w:rFonts w:cs="Arial"/>
                <w:color w:val="000000"/>
                <w:sz w:val="20"/>
              </w:rPr>
              <w:t>East</w:t>
            </w:r>
          </w:p>
        </w:tc>
        <w:tc>
          <w:tcPr>
            <w:tcW w:w="1276" w:type="dxa"/>
            <w:tcBorders>
              <w:top w:val="none" w:sz="0" w:space="0" w:color="auto"/>
              <w:bottom w:val="none" w:sz="0" w:space="0" w:color="auto"/>
            </w:tcBorders>
            <w:vAlign w:val="center"/>
          </w:tcPr>
          <w:p w14:paraId="744DEBD9" w14:textId="77777777" w:rsidR="00901C69" w:rsidRPr="004F4852" w:rsidRDefault="00C03731"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12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44DEBDA"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25</w:t>
            </w:r>
          </w:p>
        </w:tc>
        <w:tc>
          <w:tcPr>
            <w:tcW w:w="1134" w:type="dxa"/>
            <w:tcBorders>
              <w:top w:val="none" w:sz="0" w:space="0" w:color="auto"/>
              <w:bottom w:val="none" w:sz="0" w:space="0" w:color="auto"/>
            </w:tcBorders>
            <w:vAlign w:val="center"/>
          </w:tcPr>
          <w:p w14:paraId="744DEBDB" w14:textId="77777777" w:rsidR="00901C69" w:rsidRPr="004F4852" w:rsidRDefault="00C03731"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10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44DEBDC"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8</w:t>
            </w:r>
          </w:p>
        </w:tc>
        <w:tc>
          <w:tcPr>
            <w:tcW w:w="1134" w:type="dxa"/>
            <w:tcBorders>
              <w:top w:val="none" w:sz="0" w:space="0" w:color="auto"/>
              <w:bottom w:val="none" w:sz="0" w:space="0" w:color="auto"/>
            </w:tcBorders>
            <w:vAlign w:val="center"/>
          </w:tcPr>
          <w:p w14:paraId="744DEBDD" w14:textId="77777777" w:rsidR="00901C69" w:rsidRPr="004F4852" w:rsidRDefault="00C03731"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14</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744DEBDE"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27</w:t>
            </w:r>
          </w:p>
        </w:tc>
        <w:tc>
          <w:tcPr>
            <w:tcW w:w="1134" w:type="dxa"/>
            <w:tcBorders>
              <w:top w:val="none" w:sz="0" w:space="0" w:color="auto"/>
              <w:bottom w:val="none" w:sz="0" w:space="0" w:color="auto"/>
              <w:right w:val="none" w:sz="0" w:space="0" w:color="auto"/>
            </w:tcBorders>
            <w:vAlign w:val="center"/>
          </w:tcPr>
          <w:p w14:paraId="744DEBDF" w14:textId="77777777" w:rsidR="00901C69" w:rsidRDefault="005547B7"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96</w:t>
            </w:r>
          </w:p>
          <w:p w14:paraId="744DEBE0" w14:textId="77777777" w:rsidR="005547B7" w:rsidRPr="004F4852" w:rsidRDefault="005547B7"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(11%)</w:t>
            </w:r>
          </w:p>
        </w:tc>
      </w:tr>
      <w:tr w:rsidR="00901C69" w:rsidRPr="004F4852" w14:paraId="744DEBEB" w14:textId="77777777" w:rsidTr="00F634D7">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44DEBE2" w14:textId="77777777" w:rsidR="00901C69" w:rsidRPr="004F4852" w:rsidRDefault="00901C69" w:rsidP="00CC561C">
            <w:pPr>
              <w:autoSpaceDE w:val="0"/>
              <w:autoSpaceDN w:val="0"/>
              <w:adjustRightInd w:val="0"/>
              <w:jc w:val="right"/>
              <w:rPr>
                <w:rFonts w:cs="Arial"/>
                <w:color w:val="000000"/>
                <w:sz w:val="20"/>
              </w:rPr>
            </w:pPr>
            <w:r w:rsidRPr="004F4852">
              <w:rPr>
                <w:rFonts w:cs="Arial"/>
                <w:color w:val="000000"/>
                <w:sz w:val="20"/>
              </w:rPr>
              <w:t>East Midlands</w:t>
            </w:r>
          </w:p>
        </w:tc>
        <w:tc>
          <w:tcPr>
            <w:tcW w:w="1276" w:type="dxa"/>
            <w:vAlign w:val="center"/>
          </w:tcPr>
          <w:p w14:paraId="744DEBE3" w14:textId="77777777" w:rsidR="00901C69" w:rsidRPr="004F4852" w:rsidRDefault="00C03731"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44DEBE4"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14</w:t>
            </w:r>
          </w:p>
        </w:tc>
        <w:tc>
          <w:tcPr>
            <w:tcW w:w="1134" w:type="dxa"/>
            <w:vAlign w:val="center"/>
          </w:tcPr>
          <w:p w14:paraId="744DEBE5" w14:textId="77777777" w:rsidR="00901C69" w:rsidRPr="004F4852" w:rsidRDefault="00C03731"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44DEBE6"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9</w:t>
            </w:r>
          </w:p>
        </w:tc>
        <w:tc>
          <w:tcPr>
            <w:tcW w:w="1134" w:type="dxa"/>
            <w:vAlign w:val="center"/>
          </w:tcPr>
          <w:p w14:paraId="744DEBE7" w14:textId="77777777" w:rsidR="00901C69" w:rsidRPr="004F4852" w:rsidRDefault="00C03731"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16</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744DEBE8"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45</w:t>
            </w:r>
          </w:p>
        </w:tc>
        <w:tc>
          <w:tcPr>
            <w:tcW w:w="1134" w:type="dxa"/>
            <w:vAlign w:val="center"/>
          </w:tcPr>
          <w:p w14:paraId="744DEBE9" w14:textId="77777777" w:rsidR="00901C69"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100</w:t>
            </w:r>
          </w:p>
          <w:p w14:paraId="744DEBEA" w14:textId="77777777" w:rsidR="005547B7" w:rsidRPr="004F4852"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(12%)</w:t>
            </w:r>
          </w:p>
        </w:tc>
      </w:tr>
      <w:tr w:rsidR="00901C69" w:rsidRPr="004F4852" w14:paraId="744DEBF5" w14:textId="77777777" w:rsidTr="00F634D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744DEBEC" w14:textId="77777777" w:rsidR="00901C69" w:rsidRPr="004F4852" w:rsidRDefault="00901C69" w:rsidP="00CC561C">
            <w:pPr>
              <w:autoSpaceDE w:val="0"/>
              <w:autoSpaceDN w:val="0"/>
              <w:adjustRightInd w:val="0"/>
              <w:jc w:val="right"/>
              <w:rPr>
                <w:rFonts w:cs="Arial"/>
                <w:color w:val="000000"/>
                <w:sz w:val="20"/>
              </w:rPr>
            </w:pPr>
            <w:r w:rsidRPr="004F4852">
              <w:rPr>
                <w:rFonts w:cs="Arial"/>
                <w:color w:val="000000"/>
                <w:sz w:val="20"/>
              </w:rPr>
              <w:t>London</w:t>
            </w:r>
          </w:p>
        </w:tc>
        <w:tc>
          <w:tcPr>
            <w:tcW w:w="1276" w:type="dxa"/>
            <w:tcBorders>
              <w:top w:val="none" w:sz="0" w:space="0" w:color="auto"/>
              <w:bottom w:val="none" w:sz="0" w:space="0" w:color="auto"/>
            </w:tcBorders>
            <w:vAlign w:val="center"/>
          </w:tcPr>
          <w:p w14:paraId="744DEBED" w14:textId="77777777" w:rsidR="00901C69" w:rsidRPr="004F4852" w:rsidRDefault="00C03731"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5</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44DEBEE"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24</w:t>
            </w:r>
          </w:p>
        </w:tc>
        <w:tc>
          <w:tcPr>
            <w:tcW w:w="1134" w:type="dxa"/>
            <w:tcBorders>
              <w:top w:val="none" w:sz="0" w:space="0" w:color="auto"/>
              <w:bottom w:val="none" w:sz="0" w:space="0" w:color="auto"/>
            </w:tcBorders>
            <w:vAlign w:val="center"/>
          </w:tcPr>
          <w:p w14:paraId="744DEBEF" w14:textId="77777777" w:rsidR="00901C69" w:rsidRPr="004F4852" w:rsidRDefault="00773DFE"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3</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44DEBF0"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14</w:t>
            </w:r>
          </w:p>
        </w:tc>
        <w:tc>
          <w:tcPr>
            <w:tcW w:w="1134" w:type="dxa"/>
            <w:tcBorders>
              <w:top w:val="none" w:sz="0" w:space="0" w:color="auto"/>
              <w:bottom w:val="none" w:sz="0" w:space="0" w:color="auto"/>
            </w:tcBorders>
            <w:vAlign w:val="center"/>
          </w:tcPr>
          <w:p w14:paraId="744DEBF1" w14:textId="77777777" w:rsidR="00901C69" w:rsidRPr="004F4852" w:rsidRDefault="00773DFE"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7</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744DEBF2"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39</w:t>
            </w:r>
          </w:p>
        </w:tc>
        <w:tc>
          <w:tcPr>
            <w:tcW w:w="1134" w:type="dxa"/>
            <w:tcBorders>
              <w:top w:val="none" w:sz="0" w:space="0" w:color="auto"/>
              <w:bottom w:val="none" w:sz="0" w:space="0" w:color="auto"/>
              <w:right w:val="none" w:sz="0" w:space="0" w:color="auto"/>
            </w:tcBorders>
            <w:vAlign w:val="center"/>
          </w:tcPr>
          <w:p w14:paraId="744DEBF3" w14:textId="77777777" w:rsidR="00901C69" w:rsidRDefault="005547B7"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92</w:t>
            </w:r>
          </w:p>
          <w:p w14:paraId="744DEBF4" w14:textId="77777777" w:rsidR="005547B7" w:rsidRPr="004F4852" w:rsidRDefault="005547B7"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(11%)</w:t>
            </w:r>
          </w:p>
        </w:tc>
      </w:tr>
      <w:tr w:rsidR="00901C69" w:rsidRPr="004F4852" w14:paraId="744DEBFF" w14:textId="77777777" w:rsidTr="00F634D7">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44DEBF6" w14:textId="77777777" w:rsidR="00901C69" w:rsidRPr="004F4852" w:rsidRDefault="00901C69" w:rsidP="00CC561C">
            <w:pPr>
              <w:autoSpaceDE w:val="0"/>
              <w:autoSpaceDN w:val="0"/>
              <w:adjustRightInd w:val="0"/>
              <w:jc w:val="right"/>
              <w:rPr>
                <w:rFonts w:cs="Arial"/>
                <w:color w:val="000000"/>
                <w:sz w:val="20"/>
              </w:rPr>
            </w:pPr>
            <w:r w:rsidRPr="004F4852">
              <w:rPr>
                <w:rFonts w:cs="Arial"/>
                <w:color w:val="000000"/>
                <w:sz w:val="20"/>
              </w:rPr>
              <w:t>North East</w:t>
            </w:r>
          </w:p>
        </w:tc>
        <w:tc>
          <w:tcPr>
            <w:tcW w:w="1276" w:type="dxa"/>
            <w:vAlign w:val="center"/>
          </w:tcPr>
          <w:p w14:paraId="744DEBF7" w14:textId="77777777" w:rsidR="00901C69" w:rsidRPr="004F4852" w:rsidRDefault="00C03731"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2</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44DEBF8"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5</w:t>
            </w:r>
          </w:p>
        </w:tc>
        <w:tc>
          <w:tcPr>
            <w:tcW w:w="1134" w:type="dxa"/>
            <w:vAlign w:val="center"/>
          </w:tcPr>
          <w:p w14:paraId="744DEBF9" w14:textId="77777777" w:rsidR="00901C69" w:rsidRPr="004F4852" w:rsidRDefault="00773DFE"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44DEBFA"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7</w:t>
            </w:r>
          </w:p>
        </w:tc>
        <w:tc>
          <w:tcPr>
            <w:tcW w:w="1134" w:type="dxa"/>
            <w:vAlign w:val="center"/>
          </w:tcPr>
          <w:p w14:paraId="744DEBFB" w14:textId="77777777" w:rsidR="00901C69" w:rsidRPr="004F4852" w:rsidRDefault="00773DFE"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5</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744DEBFC"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6</w:t>
            </w:r>
          </w:p>
        </w:tc>
        <w:tc>
          <w:tcPr>
            <w:tcW w:w="1134" w:type="dxa"/>
            <w:vAlign w:val="center"/>
          </w:tcPr>
          <w:p w14:paraId="744DEBFD" w14:textId="77777777" w:rsidR="00901C69"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26</w:t>
            </w:r>
          </w:p>
          <w:p w14:paraId="744DEBFE" w14:textId="77777777" w:rsidR="005547B7" w:rsidRPr="004F4852"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(3%)</w:t>
            </w:r>
          </w:p>
        </w:tc>
      </w:tr>
      <w:tr w:rsidR="00901C69" w:rsidRPr="004F4852" w14:paraId="744DEC09" w14:textId="77777777" w:rsidTr="00F634D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744DEC00" w14:textId="77777777" w:rsidR="00901C69" w:rsidRPr="004F4852" w:rsidRDefault="00901C69" w:rsidP="00CC561C">
            <w:pPr>
              <w:autoSpaceDE w:val="0"/>
              <w:autoSpaceDN w:val="0"/>
              <w:adjustRightInd w:val="0"/>
              <w:jc w:val="right"/>
              <w:rPr>
                <w:rFonts w:cs="Arial"/>
                <w:color w:val="000000"/>
                <w:sz w:val="20"/>
              </w:rPr>
            </w:pPr>
            <w:r w:rsidRPr="004F4852">
              <w:rPr>
                <w:rFonts w:cs="Arial"/>
                <w:color w:val="000000"/>
                <w:sz w:val="20"/>
              </w:rPr>
              <w:t>North West</w:t>
            </w:r>
          </w:p>
        </w:tc>
        <w:tc>
          <w:tcPr>
            <w:tcW w:w="1276" w:type="dxa"/>
            <w:tcBorders>
              <w:top w:val="none" w:sz="0" w:space="0" w:color="auto"/>
              <w:bottom w:val="none" w:sz="0" w:space="0" w:color="auto"/>
            </w:tcBorders>
            <w:vAlign w:val="center"/>
          </w:tcPr>
          <w:p w14:paraId="744DEC01" w14:textId="77777777" w:rsidR="00901C69" w:rsidRPr="004F4852" w:rsidRDefault="00C03731"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5</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44DEC02"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23</w:t>
            </w:r>
          </w:p>
        </w:tc>
        <w:tc>
          <w:tcPr>
            <w:tcW w:w="1134" w:type="dxa"/>
            <w:tcBorders>
              <w:top w:val="none" w:sz="0" w:space="0" w:color="auto"/>
              <w:bottom w:val="none" w:sz="0" w:space="0" w:color="auto"/>
            </w:tcBorders>
            <w:vAlign w:val="center"/>
          </w:tcPr>
          <w:p w14:paraId="744DEC03" w14:textId="77777777" w:rsidR="00901C69" w:rsidRPr="004F4852" w:rsidRDefault="00773DFE"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44DEC04"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15</w:t>
            </w:r>
          </w:p>
        </w:tc>
        <w:tc>
          <w:tcPr>
            <w:tcW w:w="1134" w:type="dxa"/>
            <w:tcBorders>
              <w:top w:val="none" w:sz="0" w:space="0" w:color="auto"/>
              <w:bottom w:val="none" w:sz="0" w:space="0" w:color="auto"/>
            </w:tcBorders>
            <w:vAlign w:val="center"/>
          </w:tcPr>
          <w:p w14:paraId="744DEC05" w14:textId="77777777" w:rsidR="00901C69" w:rsidRPr="004F4852" w:rsidRDefault="00773DFE"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15</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744DEC06"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67</w:t>
            </w:r>
          </w:p>
        </w:tc>
        <w:tc>
          <w:tcPr>
            <w:tcW w:w="1134" w:type="dxa"/>
            <w:tcBorders>
              <w:top w:val="none" w:sz="0" w:space="0" w:color="auto"/>
              <w:bottom w:val="none" w:sz="0" w:space="0" w:color="auto"/>
              <w:right w:val="none" w:sz="0" w:space="0" w:color="auto"/>
            </w:tcBorders>
            <w:vAlign w:val="center"/>
          </w:tcPr>
          <w:p w14:paraId="744DEC07" w14:textId="77777777" w:rsidR="00901C69" w:rsidRDefault="005547B7"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129</w:t>
            </w:r>
          </w:p>
          <w:p w14:paraId="744DEC08" w14:textId="77777777" w:rsidR="005547B7" w:rsidRPr="004F4852" w:rsidRDefault="005547B7"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(15%)</w:t>
            </w:r>
          </w:p>
        </w:tc>
      </w:tr>
      <w:tr w:rsidR="00901C69" w:rsidRPr="004F4852" w14:paraId="744DEC13" w14:textId="77777777" w:rsidTr="00F634D7">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44DEC0A" w14:textId="77777777" w:rsidR="00901C69" w:rsidRPr="004F4852" w:rsidRDefault="00901C69" w:rsidP="00CC561C">
            <w:pPr>
              <w:autoSpaceDE w:val="0"/>
              <w:autoSpaceDN w:val="0"/>
              <w:adjustRightInd w:val="0"/>
              <w:jc w:val="right"/>
              <w:rPr>
                <w:rFonts w:cs="Arial"/>
                <w:color w:val="000000"/>
                <w:sz w:val="20"/>
              </w:rPr>
            </w:pPr>
            <w:r w:rsidRPr="004F4852">
              <w:rPr>
                <w:rFonts w:cs="Arial"/>
                <w:color w:val="000000"/>
                <w:sz w:val="20"/>
              </w:rPr>
              <w:t>South East</w:t>
            </w:r>
          </w:p>
        </w:tc>
        <w:tc>
          <w:tcPr>
            <w:tcW w:w="1276" w:type="dxa"/>
            <w:vAlign w:val="center"/>
          </w:tcPr>
          <w:p w14:paraId="744DEC0B" w14:textId="77777777" w:rsidR="00901C69" w:rsidRPr="004F4852" w:rsidRDefault="00C03731"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44DEC0C"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35</w:t>
            </w:r>
          </w:p>
        </w:tc>
        <w:tc>
          <w:tcPr>
            <w:tcW w:w="1134" w:type="dxa"/>
            <w:vAlign w:val="center"/>
          </w:tcPr>
          <w:p w14:paraId="744DEC0D" w14:textId="77777777" w:rsidR="00901C69" w:rsidRPr="004F4852" w:rsidRDefault="00773DFE"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12</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44DEC0E"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13</w:t>
            </w:r>
          </w:p>
        </w:tc>
        <w:tc>
          <w:tcPr>
            <w:tcW w:w="1134" w:type="dxa"/>
            <w:vAlign w:val="center"/>
          </w:tcPr>
          <w:p w14:paraId="744DEC0F" w14:textId="77777777" w:rsidR="00901C69" w:rsidRPr="004F4852" w:rsidRDefault="00773DFE"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23</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744DEC10"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86</w:t>
            </w:r>
          </w:p>
        </w:tc>
        <w:tc>
          <w:tcPr>
            <w:tcW w:w="1134" w:type="dxa"/>
            <w:vAlign w:val="center"/>
          </w:tcPr>
          <w:p w14:paraId="744DEC11" w14:textId="77777777" w:rsidR="00901C69"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180</w:t>
            </w:r>
          </w:p>
          <w:p w14:paraId="744DEC12" w14:textId="77777777" w:rsidR="005547B7" w:rsidRPr="004F4852"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(22%)</w:t>
            </w:r>
          </w:p>
        </w:tc>
      </w:tr>
      <w:tr w:rsidR="00901C69" w:rsidRPr="004F4852" w14:paraId="744DEC1D" w14:textId="77777777" w:rsidTr="00F634D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744DEC14" w14:textId="77777777" w:rsidR="00901C69" w:rsidRPr="004F4852" w:rsidRDefault="00901C69" w:rsidP="00CC561C">
            <w:pPr>
              <w:autoSpaceDE w:val="0"/>
              <w:autoSpaceDN w:val="0"/>
              <w:adjustRightInd w:val="0"/>
              <w:jc w:val="right"/>
              <w:rPr>
                <w:rFonts w:cs="Arial"/>
                <w:color w:val="000000"/>
                <w:sz w:val="20"/>
              </w:rPr>
            </w:pPr>
            <w:r w:rsidRPr="004F4852">
              <w:rPr>
                <w:rFonts w:cs="Arial"/>
                <w:color w:val="000000"/>
                <w:sz w:val="20"/>
              </w:rPr>
              <w:t>South West</w:t>
            </w:r>
          </w:p>
        </w:tc>
        <w:tc>
          <w:tcPr>
            <w:tcW w:w="1276" w:type="dxa"/>
            <w:tcBorders>
              <w:top w:val="none" w:sz="0" w:space="0" w:color="auto"/>
              <w:bottom w:val="none" w:sz="0" w:space="0" w:color="auto"/>
            </w:tcBorders>
            <w:vAlign w:val="center"/>
          </w:tcPr>
          <w:p w14:paraId="744DEC15" w14:textId="77777777" w:rsidR="00901C69" w:rsidRPr="004F4852" w:rsidRDefault="00C03731"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44DEC16"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8</w:t>
            </w:r>
          </w:p>
        </w:tc>
        <w:tc>
          <w:tcPr>
            <w:tcW w:w="1134" w:type="dxa"/>
            <w:tcBorders>
              <w:top w:val="none" w:sz="0" w:space="0" w:color="auto"/>
              <w:bottom w:val="none" w:sz="0" w:space="0" w:color="auto"/>
            </w:tcBorders>
            <w:vAlign w:val="center"/>
          </w:tcPr>
          <w:p w14:paraId="744DEC17" w14:textId="77777777" w:rsidR="00901C69" w:rsidRPr="004F4852" w:rsidRDefault="00773DFE"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8</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44DEC18"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11</w:t>
            </w:r>
          </w:p>
        </w:tc>
        <w:tc>
          <w:tcPr>
            <w:tcW w:w="1134" w:type="dxa"/>
            <w:tcBorders>
              <w:top w:val="none" w:sz="0" w:space="0" w:color="auto"/>
              <w:bottom w:val="none" w:sz="0" w:space="0" w:color="auto"/>
            </w:tcBorders>
            <w:vAlign w:val="center"/>
          </w:tcPr>
          <w:p w14:paraId="744DEC19" w14:textId="77777777" w:rsidR="00901C69" w:rsidRPr="004F4852" w:rsidRDefault="00773DFE"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15</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744DEC1A"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20</w:t>
            </w:r>
          </w:p>
        </w:tc>
        <w:tc>
          <w:tcPr>
            <w:tcW w:w="1134" w:type="dxa"/>
            <w:tcBorders>
              <w:top w:val="none" w:sz="0" w:space="0" w:color="auto"/>
              <w:bottom w:val="none" w:sz="0" w:space="0" w:color="auto"/>
              <w:right w:val="none" w:sz="0" w:space="0" w:color="auto"/>
            </w:tcBorders>
            <w:vAlign w:val="center"/>
          </w:tcPr>
          <w:p w14:paraId="744DEC1B" w14:textId="77777777" w:rsidR="00901C69" w:rsidRDefault="005547B7"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73</w:t>
            </w:r>
          </w:p>
          <w:p w14:paraId="744DEC1C" w14:textId="77777777" w:rsidR="005547B7" w:rsidRPr="004F4852" w:rsidRDefault="005547B7"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(9%)</w:t>
            </w:r>
          </w:p>
        </w:tc>
      </w:tr>
      <w:tr w:rsidR="00901C69" w:rsidRPr="004F4852" w14:paraId="744DEC27" w14:textId="77777777" w:rsidTr="00F634D7">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44DEC1E" w14:textId="77777777" w:rsidR="00901C69" w:rsidRPr="004F4852" w:rsidRDefault="00901C69" w:rsidP="00CC561C">
            <w:pPr>
              <w:autoSpaceDE w:val="0"/>
              <w:autoSpaceDN w:val="0"/>
              <w:adjustRightInd w:val="0"/>
              <w:jc w:val="right"/>
              <w:rPr>
                <w:rFonts w:cs="Arial"/>
                <w:color w:val="000000"/>
                <w:sz w:val="20"/>
              </w:rPr>
            </w:pPr>
            <w:r w:rsidRPr="004F4852">
              <w:rPr>
                <w:rFonts w:cs="Arial"/>
                <w:color w:val="000000"/>
                <w:sz w:val="20"/>
              </w:rPr>
              <w:t>West Midlands</w:t>
            </w:r>
          </w:p>
        </w:tc>
        <w:tc>
          <w:tcPr>
            <w:tcW w:w="1276" w:type="dxa"/>
            <w:vAlign w:val="center"/>
          </w:tcPr>
          <w:p w14:paraId="744DEC1F" w14:textId="77777777" w:rsidR="00901C69" w:rsidRPr="004F4852" w:rsidRDefault="00C03731"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44DEC20"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32</w:t>
            </w:r>
          </w:p>
        </w:tc>
        <w:tc>
          <w:tcPr>
            <w:tcW w:w="1134" w:type="dxa"/>
            <w:vAlign w:val="center"/>
          </w:tcPr>
          <w:p w14:paraId="744DEC21" w14:textId="77777777" w:rsidR="00901C69" w:rsidRPr="004F4852" w:rsidRDefault="00773DFE"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4</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44DEC22"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14</w:t>
            </w:r>
          </w:p>
        </w:tc>
        <w:tc>
          <w:tcPr>
            <w:tcW w:w="1134" w:type="dxa"/>
            <w:vAlign w:val="center"/>
          </w:tcPr>
          <w:p w14:paraId="744DEC23" w14:textId="77777777" w:rsidR="00901C69" w:rsidRPr="004F4852" w:rsidRDefault="00773DFE"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744DEC24"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20</w:t>
            </w:r>
          </w:p>
        </w:tc>
        <w:tc>
          <w:tcPr>
            <w:tcW w:w="1134" w:type="dxa"/>
            <w:vAlign w:val="center"/>
          </w:tcPr>
          <w:p w14:paraId="744DEC25" w14:textId="77777777" w:rsidR="00901C69"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92</w:t>
            </w:r>
          </w:p>
          <w:p w14:paraId="744DEC26" w14:textId="77777777" w:rsidR="005547B7" w:rsidRPr="004F4852"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(11%)</w:t>
            </w:r>
          </w:p>
        </w:tc>
      </w:tr>
      <w:tr w:rsidR="00901C69" w:rsidRPr="004F4852" w14:paraId="744DEC31" w14:textId="77777777" w:rsidTr="00F634D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744DEC28" w14:textId="77777777" w:rsidR="00901C69" w:rsidRPr="004F4852" w:rsidRDefault="00901C69" w:rsidP="00CC561C">
            <w:pPr>
              <w:autoSpaceDE w:val="0"/>
              <w:autoSpaceDN w:val="0"/>
              <w:adjustRightInd w:val="0"/>
              <w:jc w:val="right"/>
              <w:rPr>
                <w:rFonts w:cs="Arial"/>
                <w:color w:val="000000"/>
                <w:sz w:val="20"/>
              </w:rPr>
            </w:pPr>
            <w:r w:rsidRPr="004F4852">
              <w:rPr>
                <w:rFonts w:cs="Arial"/>
                <w:color w:val="000000"/>
                <w:sz w:val="20"/>
              </w:rPr>
              <w:t>Yorkshire and the Humber</w:t>
            </w:r>
          </w:p>
        </w:tc>
        <w:tc>
          <w:tcPr>
            <w:tcW w:w="1276" w:type="dxa"/>
            <w:tcBorders>
              <w:top w:val="none" w:sz="0" w:space="0" w:color="auto"/>
              <w:bottom w:val="none" w:sz="0" w:space="0" w:color="auto"/>
            </w:tcBorders>
            <w:vAlign w:val="center"/>
          </w:tcPr>
          <w:p w14:paraId="744DEC29" w14:textId="77777777" w:rsidR="00901C69" w:rsidRPr="004F4852" w:rsidRDefault="00C03731"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44DEC2A" w14:textId="77777777" w:rsidR="00901C69" w:rsidRPr="004F4852" w:rsidRDefault="00C03731" w:rsidP="00CC561C">
            <w:pPr>
              <w:autoSpaceDE w:val="0"/>
              <w:autoSpaceDN w:val="0"/>
              <w:adjustRightInd w:val="0"/>
              <w:jc w:val="center"/>
              <w:rPr>
                <w:rFonts w:cs="Arial"/>
                <w:color w:val="000000"/>
                <w:sz w:val="20"/>
              </w:rPr>
            </w:pPr>
            <w:r>
              <w:rPr>
                <w:rFonts w:cs="Arial"/>
                <w:color w:val="000000"/>
                <w:sz w:val="20"/>
              </w:rPr>
              <w:t>9</w:t>
            </w:r>
          </w:p>
        </w:tc>
        <w:tc>
          <w:tcPr>
            <w:tcW w:w="1134" w:type="dxa"/>
            <w:tcBorders>
              <w:top w:val="none" w:sz="0" w:space="0" w:color="auto"/>
              <w:bottom w:val="none" w:sz="0" w:space="0" w:color="auto"/>
            </w:tcBorders>
            <w:vAlign w:val="center"/>
          </w:tcPr>
          <w:p w14:paraId="744DEC2B" w14:textId="77777777" w:rsidR="00901C69" w:rsidRPr="004F4852" w:rsidRDefault="00773DFE"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3</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44DEC2C"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10</w:t>
            </w:r>
          </w:p>
        </w:tc>
        <w:tc>
          <w:tcPr>
            <w:tcW w:w="1134" w:type="dxa"/>
            <w:tcBorders>
              <w:top w:val="none" w:sz="0" w:space="0" w:color="auto"/>
              <w:bottom w:val="none" w:sz="0" w:space="0" w:color="auto"/>
            </w:tcBorders>
            <w:vAlign w:val="center"/>
          </w:tcPr>
          <w:p w14:paraId="744DEC2D" w14:textId="77777777" w:rsidR="00901C69" w:rsidRPr="004F4852" w:rsidRDefault="00773DFE"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8</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744DEC2E" w14:textId="77777777" w:rsidR="00901C69" w:rsidRPr="004F4852" w:rsidRDefault="00773DFE" w:rsidP="00CC561C">
            <w:pPr>
              <w:autoSpaceDE w:val="0"/>
              <w:autoSpaceDN w:val="0"/>
              <w:adjustRightInd w:val="0"/>
              <w:jc w:val="center"/>
              <w:rPr>
                <w:rFonts w:cs="Arial"/>
                <w:color w:val="000000"/>
                <w:sz w:val="20"/>
              </w:rPr>
            </w:pPr>
            <w:r>
              <w:rPr>
                <w:rFonts w:cs="Arial"/>
                <w:color w:val="000000"/>
                <w:sz w:val="20"/>
              </w:rPr>
              <w:t>11</w:t>
            </w:r>
          </w:p>
        </w:tc>
        <w:tc>
          <w:tcPr>
            <w:tcW w:w="1134" w:type="dxa"/>
            <w:tcBorders>
              <w:top w:val="none" w:sz="0" w:space="0" w:color="auto"/>
              <w:bottom w:val="none" w:sz="0" w:space="0" w:color="auto"/>
              <w:right w:val="none" w:sz="0" w:space="0" w:color="auto"/>
            </w:tcBorders>
            <w:vAlign w:val="center"/>
          </w:tcPr>
          <w:p w14:paraId="744DEC2F" w14:textId="77777777" w:rsidR="00901C69" w:rsidRDefault="005547B7"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47</w:t>
            </w:r>
          </w:p>
          <w:p w14:paraId="744DEC30" w14:textId="77777777" w:rsidR="005547B7" w:rsidRPr="004F4852" w:rsidRDefault="005547B7"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(6%)</w:t>
            </w:r>
          </w:p>
        </w:tc>
      </w:tr>
      <w:tr w:rsidR="00901C69" w:rsidRPr="004F4852" w14:paraId="744DEC41" w14:textId="77777777" w:rsidTr="00F634D7">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CEA8D2"/>
          </w:tcPr>
          <w:p w14:paraId="744DEC32" w14:textId="77777777" w:rsidR="00901C69" w:rsidRPr="004F4852" w:rsidRDefault="00901C69" w:rsidP="00CC561C">
            <w:pPr>
              <w:autoSpaceDE w:val="0"/>
              <w:autoSpaceDN w:val="0"/>
              <w:adjustRightInd w:val="0"/>
              <w:jc w:val="right"/>
              <w:rPr>
                <w:rFonts w:cs="Arial"/>
                <w:b/>
                <w:sz w:val="20"/>
              </w:rPr>
            </w:pPr>
            <w:r w:rsidRPr="004F4852">
              <w:rPr>
                <w:rFonts w:cs="Arial"/>
                <w:b/>
                <w:sz w:val="20"/>
              </w:rPr>
              <w:t>Role Total:</w:t>
            </w:r>
          </w:p>
        </w:tc>
        <w:tc>
          <w:tcPr>
            <w:tcW w:w="1276" w:type="dxa"/>
            <w:vAlign w:val="center"/>
          </w:tcPr>
          <w:p w14:paraId="744DEC33" w14:textId="77777777" w:rsidR="00901C69" w:rsidRPr="008A65F5"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8A65F5">
              <w:rPr>
                <w:rFonts w:cs="Arial"/>
                <w:color w:val="000000"/>
                <w:sz w:val="20"/>
              </w:rPr>
              <w:t>70</w:t>
            </w:r>
          </w:p>
          <w:p w14:paraId="744DEC34" w14:textId="77777777" w:rsidR="005547B7" w:rsidRPr="008A65F5"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8A65F5">
              <w:rPr>
                <w:rFonts w:cs="Arial"/>
                <w:color w:val="000000"/>
                <w:sz w:val="20"/>
              </w:rPr>
              <w:t>(</w:t>
            </w:r>
            <w:r w:rsidR="00481AB6" w:rsidRPr="008A65F5">
              <w:rPr>
                <w:rFonts w:cs="Arial"/>
                <w:color w:val="000000"/>
                <w:sz w:val="20"/>
              </w:rPr>
              <w:t>8</w:t>
            </w:r>
            <w:r w:rsidRPr="008A65F5">
              <w:rPr>
                <w:rFonts w:cs="Arial"/>
                <w:color w:val="000000"/>
                <w:sz w:val="20"/>
              </w:rPr>
              <w:t>%)</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44DEC35" w14:textId="77777777" w:rsidR="00901C69" w:rsidRPr="008A65F5" w:rsidRDefault="005547B7" w:rsidP="00CC561C">
            <w:pPr>
              <w:autoSpaceDE w:val="0"/>
              <w:autoSpaceDN w:val="0"/>
              <w:adjustRightInd w:val="0"/>
              <w:jc w:val="center"/>
              <w:rPr>
                <w:rFonts w:cs="Arial"/>
                <w:color w:val="000000"/>
                <w:sz w:val="20"/>
              </w:rPr>
            </w:pPr>
            <w:r w:rsidRPr="008A65F5">
              <w:rPr>
                <w:rFonts w:cs="Arial"/>
                <w:color w:val="000000"/>
                <w:sz w:val="20"/>
              </w:rPr>
              <w:t>175</w:t>
            </w:r>
          </w:p>
          <w:p w14:paraId="744DEC36" w14:textId="77777777" w:rsidR="005547B7" w:rsidRPr="008A65F5" w:rsidRDefault="005547B7" w:rsidP="00CC561C">
            <w:pPr>
              <w:autoSpaceDE w:val="0"/>
              <w:autoSpaceDN w:val="0"/>
              <w:adjustRightInd w:val="0"/>
              <w:jc w:val="center"/>
              <w:rPr>
                <w:rFonts w:cs="Arial"/>
                <w:color w:val="000000"/>
                <w:sz w:val="20"/>
              </w:rPr>
            </w:pPr>
            <w:r w:rsidRPr="008A65F5">
              <w:rPr>
                <w:rFonts w:cs="Arial"/>
                <w:color w:val="000000"/>
                <w:sz w:val="20"/>
              </w:rPr>
              <w:t>(</w:t>
            </w:r>
            <w:r w:rsidR="00481AB6" w:rsidRPr="008A65F5">
              <w:rPr>
                <w:rFonts w:cs="Arial"/>
                <w:color w:val="000000"/>
                <w:sz w:val="20"/>
              </w:rPr>
              <w:t>21</w:t>
            </w:r>
            <w:r w:rsidRPr="008A65F5">
              <w:rPr>
                <w:rFonts w:cs="Arial"/>
                <w:color w:val="000000"/>
                <w:sz w:val="20"/>
              </w:rPr>
              <w:t>%)</w:t>
            </w:r>
          </w:p>
        </w:tc>
        <w:tc>
          <w:tcPr>
            <w:tcW w:w="1134" w:type="dxa"/>
            <w:vAlign w:val="center"/>
          </w:tcPr>
          <w:p w14:paraId="744DEC37" w14:textId="77777777" w:rsidR="00901C69" w:rsidRPr="008A65F5"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8A65F5">
              <w:rPr>
                <w:rFonts w:cs="Arial"/>
                <w:color w:val="000000"/>
                <w:sz w:val="20"/>
              </w:rPr>
              <w:t>54</w:t>
            </w:r>
          </w:p>
          <w:p w14:paraId="744DEC38" w14:textId="77777777" w:rsidR="005547B7" w:rsidRPr="008A65F5"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8A65F5">
              <w:rPr>
                <w:rFonts w:cs="Arial"/>
                <w:color w:val="000000"/>
                <w:sz w:val="20"/>
              </w:rPr>
              <w:t>(</w:t>
            </w:r>
            <w:r w:rsidR="00481AB6" w:rsidRPr="008A65F5">
              <w:rPr>
                <w:rFonts w:cs="Arial"/>
                <w:color w:val="000000"/>
                <w:sz w:val="20"/>
              </w:rPr>
              <w:t>6</w:t>
            </w:r>
            <w:r w:rsidRPr="008A65F5">
              <w:rPr>
                <w:rFonts w:cs="Arial"/>
                <w:color w:val="000000"/>
                <w:sz w:val="20"/>
              </w:rPr>
              <w:t>%)</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44DEC39" w14:textId="77777777" w:rsidR="00901C69" w:rsidRPr="008A65F5" w:rsidRDefault="005547B7" w:rsidP="00CC561C">
            <w:pPr>
              <w:autoSpaceDE w:val="0"/>
              <w:autoSpaceDN w:val="0"/>
              <w:adjustRightInd w:val="0"/>
              <w:jc w:val="center"/>
              <w:rPr>
                <w:rFonts w:cs="Arial"/>
                <w:color w:val="000000"/>
                <w:sz w:val="20"/>
              </w:rPr>
            </w:pPr>
            <w:r w:rsidRPr="008A65F5">
              <w:rPr>
                <w:rFonts w:cs="Arial"/>
                <w:color w:val="000000"/>
                <w:sz w:val="20"/>
              </w:rPr>
              <w:t>101</w:t>
            </w:r>
          </w:p>
          <w:p w14:paraId="744DEC3A" w14:textId="77777777" w:rsidR="005547B7" w:rsidRPr="008A65F5" w:rsidRDefault="005547B7" w:rsidP="00CC561C">
            <w:pPr>
              <w:autoSpaceDE w:val="0"/>
              <w:autoSpaceDN w:val="0"/>
              <w:adjustRightInd w:val="0"/>
              <w:jc w:val="center"/>
              <w:rPr>
                <w:rFonts w:cs="Arial"/>
                <w:color w:val="000000"/>
                <w:sz w:val="20"/>
              </w:rPr>
            </w:pPr>
            <w:r w:rsidRPr="008A65F5">
              <w:rPr>
                <w:rFonts w:cs="Arial"/>
                <w:color w:val="000000"/>
                <w:sz w:val="20"/>
              </w:rPr>
              <w:t>(</w:t>
            </w:r>
            <w:r w:rsidR="00481AB6" w:rsidRPr="008A65F5">
              <w:rPr>
                <w:rFonts w:cs="Arial"/>
                <w:color w:val="000000"/>
                <w:sz w:val="20"/>
              </w:rPr>
              <w:t>12</w:t>
            </w:r>
            <w:r w:rsidRPr="008A65F5">
              <w:rPr>
                <w:rFonts w:cs="Arial"/>
                <w:color w:val="000000"/>
                <w:sz w:val="20"/>
              </w:rPr>
              <w:t>%)</w:t>
            </w:r>
          </w:p>
        </w:tc>
        <w:tc>
          <w:tcPr>
            <w:tcW w:w="1134" w:type="dxa"/>
            <w:vAlign w:val="center"/>
          </w:tcPr>
          <w:p w14:paraId="744DEC3B" w14:textId="77777777" w:rsidR="00901C69" w:rsidRPr="008A65F5"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8A65F5">
              <w:rPr>
                <w:rFonts w:cs="Arial"/>
                <w:color w:val="000000"/>
                <w:sz w:val="20"/>
              </w:rPr>
              <w:t>114</w:t>
            </w:r>
          </w:p>
          <w:p w14:paraId="744DEC3C" w14:textId="77777777" w:rsidR="005547B7" w:rsidRPr="008A65F5"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8A65F5">
              <w:rPr>
                <w:rFonts w:cs="Arial"/>
                <w:color w:val="000000"/>
                <w:sz w:val="20"/>
              </w:rPr>
              <w:t>(</w:t>
            </w:r>
            <w:r w:rsidR="00481AB6" w:rsidRPr="008A65F5">
              <w:rPr>
                <w:rFonts w:cs="Arial"/>
                <w:color w:val="000000"/>
                <w:sz w:val="20"/>
              </w:rPr>
              <w:t>14</w:t>
            </w:r>
            <w:r w:rsidRPr="008A65F5">
              <w:rPr>
                <w:rFonts w:cs="Arial"/>
                <w:color w:val="000000"/>
                <w:sz w:val="20"/>
              </w:rPr>
              <w:t>%)</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744DEC3D" w14:textId="77777777" w:rsidR="00901C69" w:rsidRPr="008A65F5" w:rsidRDefault="005547B7" w:rsidP="00CC561C">
            <w:pPr>
              <w:autoSpaceDE w:val="0"/>
              <w:autoSpaceDN w:val="0"/>
              <w:adjustRightInd w:val="0"/>
              <w:jc w:val="center"/>
              <w:rPr>
                <w:rFonts w:cs="Arial"/>
                <w:color w:val="000000"/>
                <w:sz w:val="20"/>
              </w:rPr>
            </w:pPr>
            <w:r w:rsidRPr="008A65F5">
              <w:rPr>
                <w:rFonts w:cs="Arial"/>
                <w:color w:val="000000"/>
                <w:sz w:val="20"/>
              </w:rPr>
              <w:t>321</w:t>
            </w:r>
          </w:p>
          <w:p w14:paraId="744DEC3E" w14:textId="77777777" w:rsidR="005547B7" w:rsidRPr="008A65F5" w:rsidRDefault="005547B7" w:rsidP="00CC561C">
            <w:pPr>
              <w:autoSpaceDE w:val="0"/>
              <w:autoSpaceDN w:val="0"/>
              <w:adjustRightInd w:val="0"/>
              <w:jc w:val="center"/>
              <w:rPr>
                <w:rFonts w:cs="Arial"/>
                <w:color w:val="000000"/>
                <w:sz w:val="20"/>
              </w:rPr>
            </w:pPr>
            <w:r w:rsidRPr="008A65F5">
              <w:rPr>
                <w:rFonts w:cs="Arial"/>
                <w:color w:val="000000"/>
                <w:sz w:val="20"/>
              </w:rPr>
              <w:t>(</w:t>
            </w:r>
            <w:r w:rsidR="00481AB6" w:rsidRPr="008A65F5">
              <w:rPr>
                <w:rFonts w:cs="Arial"/>
                <w:color w:val="000000"/>
                <w:sz w:val="20"/>
              </w:rPr>
              <w:t>38</w:t>
            </w:r>
            <w:r w:rsidRPr="008A65F5">
              <w:rPr>
                <w:rFonts w:cs="Arial"/>
                <w:color w:val="000000"/>
                <w:sz w:val="20"/>
              </w:rPr>
              <w:t>%)</w:t>
            </w:r>
          </w:p>
        </w:tc>
        <w:tc>
          <w:tcPr>
            <w:tcW w:w="1134" w:type="dxa"/>
            <w:vAlign w:val="center"/>
          </w:tcPr>
          <w:p w14:paraId="744DEC3F" w14:textId="77777777" w:rsidR="00901C69"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835</w:t>
            </w:r>
          </w:p>
          <w:p w14:paraId="744DEC40" w14:textId="77777777" w:rsidR="005547B7" w:rsidRPr="004F4852" w:rsidRDefault="005547B7" w:rsidP="00CC56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(100%)</w:t>
            </w:r>
          </w:p>
        </w:tc>
      </w:tr>
      <w:tr w:rsidR="00901C69" w:rsidRPr="004F4852" w14:paraId="744DEC48" w14:textId="77777777" w:rsidTr="00F634D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CEA8D2"/>
          </w:tcPr>
          <w:p w14:paraId="744DEC42" w14:textId="77777777" w:rsidR="00901C69" w:rsidRPr="004F4852" w:rsidRDefault="00901C69" w:rsidP="00CC561C">
            <w:pPr>
              <w:autoSpaceDE w:val="0"/>
              <w:autoSpaceDN w:val="0"/>
              <w:adjustRightInd w:val="0"/>
              <w:jc w:val="right"/>
              <w:rPr>
                <w:rFonts w:cs="Arial"/>
                <w:b/>
                <w:sz w:val="20"/>
              </w:rPr>
            </w:pPr>
            <w:r w:rsidRPr="004F4852">
              <w:rPr>
                <w:rFonts w:cs="Arial"/>
                <w:b/>
                <w:sz w:val="20"/>
              </w:rPr>
              <w:t>Amalgamated role Total:</w:t>
            </w:r>
          </w:p>
        </w:tc>
        <w:tc>
          <w:tcPr>
            <w:tcW w:w="2410" w:type="dxa"/>
            <w:gridSpan w:val="2"/>
            <w:tcBorders>
              <w:top w:val="none" w:sz="0" w:space="0" w:color="auto"/>
              <w:bottom w:val="none" w:sz="0" w:space="0" w:color="auto"/>
            </w:tcBorders>
            <w:vAlign w:val="center"/>
          </w:tcPr>
          <w:p w14:paraId="744DEC43" w14:textId="77777777" w:rsidR="00901C69" w:rsidRPr="008A65F5" w:rsidRDefault="005547B7" w:rsidP="00CC3D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8A65F5">
              <w:rPr>
                <w:rFonts w:cs="Arial"/>
                <w:color w:val="000000"/>
                <w:sz w:val="20"/>
              </w:rPr>
              <w:t>245 (</w:t>
            </w:r>
            <w:r w:rsidR="00481AB6" w:rsidRPr="008A65F5">
              <w:rPr>
                <w:rFonts w:cs="Arial"/>
                <w:color w:val="000000"/>
                <w:sz w:val="20"/>
              </w:rPr>
              <w:t>29</w:t>
            </w:r>
            <w:r w:rsidRPr="008A65F5">
              <w:rPr>
                <w:rFonts w:cs="Arial"/>
                <w:color w:val="000000"/>
                <w:sz w:val="20"/>
              </w:rPr>
              <w:t>%)</w:t>
            </w:r>
          </w:p>
        </w:tc>
        <w:tc>
          <w:tcPr>
            <w:cnfStyle w:val="000010000000" w:firstRow="0" w:lastRow="0" w:firstColumn="0" w:lastColumn="0" w:oddVBand="1" w:evenVBand="0" w:oddHBand="0" w:evenHBand="0" w:firstRowFirstColumn="0" w:firstRowLastColumn="0" w:lastRowFirstColumn="0" w:lastRowLastColumn="0"/>
            <w:tcW w:w="3402" w:type="dxa"/>
            <w:gridSpan w:val="3"/>
            <w:tcBorders>
              <w:top w:val="none" w:sz="0" w:space="0" w:color="auto"/>
              <w:left w:val="none" w:sz="0" w:space="0" w:color="auto"/>
              <w:bottom w:val="none" w:sz="0" w:space="0" w:color="auto"/>
              <w:right w:val="none" w:sz="0" w:space="0" w:color="auto"/>
            </w:tcBorders>
            <w:vAlign w:val="center"/>
          </w:tcPr>
          <w:p w14:paraId="744DEC44" w14:textId="77777777" w:rsidR="00901C69" w:rsidRPr="008A65F5" w:rsidRDefault="005547B7" w:rsidP="00CC561C">
            <w:pPr>
              <w:autoSpaceDE w:val="0"/>
              <w:autoSpaceDN w:val="0"/>
              <w:adjustRightInd w:val="0"/>
              <w:jc w:val="center"/>
              <w:rPr>
                <w:rFonts w:cs="Arial"/>
                <w:color w:val="000000"/>
                <w:sz w:val="20"/>
              </w:rPr>
            </w:pPr>
            <w:r w:rsidRPr="008A65F5">
              <w:rPr>
                <w:rFonts w:cs="Arial"/>
                <w:color w:val="000000"/>
                <w:sz w:val="20"/>
              </w:rPr>
              <w:t>269 (</w:t>
            </w:r>
            <w:r w:rsidR="00481AB6" w:rsidRPr="008A65F5">
              <w:rPr>
                <w:rFonts w:cs="Arial"/>
                <w:color w:val="000000"/>
                <w:sz w:val="20"/>
              </w:rPr>
              <w:t>32</w:t>
            </w:r>
            <w:r w:rsidRPr="008A65F5">
              <w:rPr>
                <w:rFonts w:cs="Arial"/>
                <w:color w:val="000000"/>
                <w:sz w:val="20"/>
              </w:rPr>
              <w:t>%)</w:t>
            </w:r>
          </w:p>
        </w:tc>
        <w:tc>
          <w:tcPr>
            <w:tcW w:w="1418" w:type="dxa"/>
            <w:tcBorders>
              <w:top w:val="none" w:sz="0" w:space="0" w:color="auto"/>
              <w:bottom w:val="none" w:sz="0" w:space="0" w:color="auto"/>
            </w:tcBorders>
            <w:vAlign w:val="center"/>
          </w:tcPr>
          <w:p w14:paraId="744DEC45" w14:textId="77777777" w:rsidR="00901C69" w:rsidRPr="008A65F5" w:rsidRDefault="005547B7" w:rsidP="00CC561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8A65F5">
              <w:rPr>
                <w:rFonts w:cs="Arial"/>
                <w:color w:val="000000"/>
                <w:sz w:val="20"/>
              </w:rPr>
              <w:t>321 (</w:t>
            </w:r>
            <w:r w:rsidR="00481AB6" w:rsidRPr="008A65F5">
              <w:rPr>
                <w:rFonts w:cs="Arial"/>
                <w:color w:val="000000"/>
                <w:sz w:val="20"/>
              </w:rPr>
              <w:t>38</w:t>
            </w:r>
            <w:r w:rsidRPr="008A65F5">
              <w:rPr>
                <w:rFonts w:cs="Arial"/>
                <w:color w:val="000000"/>
                <w:sz w:val="20"/>
              </w:rPr>
              <w:t>%)</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44DEC46" w14:textId="77777777" w:rsidR="00901C69" w:rsidRDefault="005547B7" w:rsidP="00CC561C">
            <w:pPr>
              <w:autoSpaceDE w:val="0"/>
              <w:autoSpaceDN w:val="0"/>
              <w:adjustRightInd w:val="0"/>
              <w:jc w:val="center"/>
              <w:rPr>
                <w:rFonts w:cs="Arial"/>
                <w:color w:val="000000"/>
                <w:sz w:val="20"/>
              </w:rPr>
            </w:pPr>
            <w:r>
              <w:rPr>
                <w:rFonts w:cs="Arial"/>
                <w:color w:val="000000"/>
                <w:sz w:val="20"/>
              </w:rPr>
              <w:t>835</w:t>
            </w:r>
          </w:p>
          <w:p w14:paraId="744DEC47" w14:textId="77777777" w:rsidR="005547B7" w:rsidRPr="004F4852" w:rsidRDefault="005547B7" w:rsidP="00CC561C">
            <w:pPr>
              <w:autoSpaceDE w:val="0"/>
              <w:autoSpaceDN w:val="0"/>
              <w:adjustRightInd w:val="0"/>
              <w:jc w:val="center"/>
              <w:rPr>
                <w:rFonts w:cs="Arial"/>
                <w:color w:val="000000"/>
                <w:sz w:val="20"/>
              </w:rPr>
            </w:pPr>
            <w:r>
              <w:rPr>
                <w:rFonts w:cs="Arial"/>
                <w:color w:val="000000"/>
                <w:sz w:val="20"/>
              </w:rPr>
              <w:t>(100%)</w:t>
            </w:r>
          </w:p>
        </w:tc>
      </w:tr>
    </w:tbl>
    <w:p w14:paraId="744DEC49" w14:textId="77777777" w:rsidR="00B1146E" w:rsidRPr="004F4852" w:rsidRDefault="00B1146E" w:rsidP="002D0C02">
      <w:pPr>
        <w:jc w:val="both"/>
        <w:rPr>
          <w:rFonts w:cs="Arial"/>
          <w:b/>
          <w:szCs w:val="24"/>
        </w:rPr>
      </w:pPr>
    </w:p>
    <w:p w14:paraId="744DEC4C" w14:textId="0EA0D9D3" w:rsidR="0032217B" w:rsidRDefault="0032217B" w:rsidP="00F21D9B">
      <w:pPr>
        <w:rPr>
          <w:b/>
          <w:sz w:val="22"/>
          <w:szCs w:val="22"/>
        </w:rPr>
      </w:pPr>
      <w:r w:rsidRPr="002F26C6">
        <w:rPr>
          <w:b/>
          <w:sz w:val="22"/>
          <w:szCs w:val="22"/>
        </w:rPr>
        <w:t xml:space="preserve">Detailed analysis </w:t>
      </w:r>
      <w:r w:rsidR="00367EAF" w:rsidRPr="002F26C6">
        <w:rPr>
          <w:b/>
          <w:sz w:val="22"/>
          <w:szCs w:val="22"/>
        </w:rPr>
        <w:t>of</w:t>
      </w:r>
      <w:r w:rsidRPr="002F26C6">
        <w:rPr>
          <w:b/>
          <w:sz w:val="22"/>
          <w:szCs w:val="22"/>
        </w:rPr>
        <w:t xml:space="preserve"> findings</w:t>
      </w:r>
    </w:p>
    <w:p w14:paraId="5E8214D0" w14:textId="77777777" w:rsidR="00001EEF" w:rsidRPr="00880FAE" w:rsidRDefault="00001EEF" w:rsidP="00F21D9B">
      <w:pPr>
        <w:rPr>
          <w:b/>
          <w:sz w:val="22"/>
          <w:szCs w:val="22"/>
        </w:rPr>
      </w:pPr>
    </w:p>
    <w:p w14:paraId="744DEC4D" w14:textId="77777777" w:rsidR="008C22C6" w:rsidRDefault="002C158B" w:rsidP="00001EEF">
      <w:pPr>
        <w:pStyle w:val="ListParagraph"/>
        <w:numPr>
          <w:ilvl w:val="0"/>
          <w:numId w:val="8"/>
        </w:numPr>
        <w:spacing w:before="0" w:after="0" w:line="240" w:lineRule="auto"/>
        <w:ind w:left="357"/>
        <w:rPr>
          <w:sz w:val="22"/>
        </w:rPr>
      </w:pPr>
      <w:r w:rsidRPr="00880FAE">
        <w:rPr>
          <w:sz w:val="22"/>
        </w:rPr>
        <w:t>The following</w:t>
      </w:r>
      <w:r w:rsidR="00DC2A96" w:rsidRPr="00880FAE">
        <w:rPr>
          <w:sz w:val="22"/>
        </w:rPr>
        <w:t xml:space="preserve"> </w:t>
      </w:r>
      <w:r w:rsidR="00C02891" w:rsidRPr="00880FAE">
        <w:rPr>
          <w:sz w:val="22"/>
        </w:rPr>
        <w:t>gives</w:t>
      </w:r>
      <w:r w:rsidRPr="00880FAE">
        <w:rPr>
          <w:sz w:val="22"/>
        </w:rPr>
        <w:t xml:space="preserve"> a more detailed analysis </w:t>
      </w:r>
      <w:r w:rsidR="00072926">
        <w:rPr>
          <w:sz w:val="22"/>
        </w:rPr>
        <w:t xml:space="preserve">of the key indicators in our business plan. It </w:t>
      </w:r>
      <w:r w:rsidR="00072926" w:rsidRPr="00880FAE">
        <w:rPr>
          <w:sz w:val="22"/>
        </w:rPr>
        <w:t>show</w:t>
      </w:r>
      <w:r w:rsidR="00072926">
        <w:rPr>
          <w:sz w:val="22"/>
        </w:rPr>
        <w:t>s</w:t>
      </w:r>
      <w:r w:rsidR="00072926" w:rsidRPr="00880FAE">
        <w:rPr>
          <w:sz w:val="22"/>
        </w:rPr>
        <w:t xml:space="preserve"> </w:t>
      </w:r>
      <w:r w:rsidR="00901C69" w:rsidRPr="00880FAE">
        <w:rPr>
          <w:sz w:val="22"/>
        </w:rPr>
        <w:t>where there are significant differences between differen</w:t>
      </w:r>
      <w:r w:rsidR="000E2FD4" w:rsidRPr="00880FAE">
        <w:rPr>
          <w:sz w:val="22"/>
        </w:rPr>
        <w:t>t</w:t>
      </w:r>
      <w:r w:rsidR="00901C69" w:rsidRPr="00880FAE">
        <w:rPr>
          <w:sz w:val="22"/>
        </w:rPr>
        <w:t xml:space="preserve"> roles</w:t>
      </w:r>
      <w:r w:rsidR="008D68F2" w:rsidRPr="00880FAE">
        <w:rPr>
          <w:sz w:val="22"/>
        </w:rPr>
        <w:t xml:space="preserve"> and</w:t>
      </w:r>
      <w:r w:rsidR="00901C69" w:rsidRPr="00880FAE">
        <w:rPr>
          <w:sz w:val="22"/>
        </w:rPr>
        <w:t xml:space="preserve"> regions</w:t>
      </w:r>
      <w:r w:rsidR="007877ED" w:rsidRPr="00880FAE">
        <w:rPr>
          <w:sz w:val="22"/>
        </w:rPr>
        <w:t xml:space="preserve"> and</w:t>
      </w:r>
      <w:r w:rsidR="00901C69" w:rsidRPr="00880FAE">
        <w:rPr>
          <w:sz w:val="22"/>
        </w:rPr>
        <w:t xml:space="preserve"> </w:t>
      </w:r>
      <w:r w:rsidR="008D68F2" w:rsidRPr="00880FAE">
        <w:rPr>
          <w:sz w:val="22"/>
        </w:rPr>
        <w:t xml:space="preserve">highlighting </w:t>
      </w:r>
      <w:r w:rsidR="00901C69" w:rsidRPr="00880FAE">
        <w:rPr>
          <w:sz w:val="22"/>
        </w:rPr>
        <w:t xml:space="preserve">significant changes </w:t>
      </w:r>
      <w:r w:rsidR="00000973">
        <w:rPr>
          <w:sz w:val="22"/>
        </w:rPr>
        <w:t xml:space="preserve">from </w:t>
      </w:r>
      <w:r w:rsidR="00B9679E">
        <w:rPr>
          <w:sz w:val="22"/>
        </w:rPr>
        <w:t>previous years</w:t>
      </w:r>
      <w:r w:rsidR="008C22C6">
        <w:rPr>
          <w:sz w:val="22"/>
        </w:rPr>
        <w:t>.</w:t>
      </w:r>
    </w:p>
    <w:p w14:paraId="744DEC4F" w14:textId="77777777" w:rsidR="008629A4" w:rsidRPr="00072926" w:rsidRDefault="008629A4" w:rsidP="00F21D9B">
      <w:pPr>
        <w:rPr>
          <w:sz w:val="22"/>
          <w:szCs w:val="22"/>
        </w:rPr>
      </w:pPr>
    </w:p>
    <w:p w14:paraId="744DEC50" w14:textId="4AB115D5" w:rsidR="00B9679E" w:rsidRDefault="00B9679E" w:rsidP="00001EEF">
      <w:pPr>
        <w:ind w:left="414" w:firstLine="720"/>
        <w:rPr>
          <w:b/>
          <w:sz w:val="22"/>
          <w:szCs w:val="22"/>
        </w:rPr>
      </w:pPr>
      <w:r w:rsidRPr="00072926">
        <w:rPr>
          <w:b/>
          <w:sz w:val="22"/>
          <w:szCs w:val="22"/>
        </w:rPr>
        <w:t>Satisfaction with the work of the LGA on behalf of local government</w:t>
      </w:r>
    </w:p>
    <w:p w14:paraId="5714CE94" w14:textId="77777777" w:rsidR="00001EEF" w:rsidRPr="00072926" w:rsidRDefault="00001EEF" w:rsidP="00001EEF">
      <w:pPr>
        <w:rPr>
          <w:b/>
          <w:sz w:val="22"/>
          <w:szCs w:val="22"/>
        </w:rPr>
      </w:pPr>
    </w:p>
    <w:p w14:paraId="72D78515" w14:textId="77777777" w:rsidR="00001EEF" w:rsidRDefault="00B9679E" w:rsidP="00B9679E">
      <w:pPr>
        <w:pStyle w:val="ListParagraph"/>
        <w:numPr>
          <w:ilvl w:val="1"/>
          <w:numId w:val="8"/>
        </w:numPr>
        <w:spacing w:before="0" w:after="0" w:line="240" w:lineRule="auto"/>
        <w:rPr>
          <w:sz w:val="22"/>
        </w:rPr>
      </w:pPr>
      <w:r w:rsidRPr="00072926">
        <w:rPr>
          <w:b/>
          <w:sz w:val="22"/>
        </w:rPr>
        <w:t xml:space="preserve">Seventy </w:t>
      </w:r>
      <w:r w:rsidR="00A131C4">
        <w:rPr>
          <w:b/>
          <w:sz w:val="22"/>
        </w:rPr>
        <w:t>six</w:t>
      </w:r>
      <w:r w:rsidR="00072926" w:rsidRPr="00072926">
        <w:rPr>
          <w:b/>
          <w:sz w:val="22"/>
        </w:rPr>
        <w:t xml:space="preserve"> </w:t>
      </w:r>
      <w:r w:rsidRPr="00072926">
        <w:rPr>
          <w:b/>
          <w:sz w:val="22"/>
        </w:rPr>
        <w:t>per cent</w:t>
      </w:r>
      <w:r w:rsidRPr="00072926">
        <w:rPr>
          <w:sz w:val="22"/>
        </w:rPr>
        <w:t xml:space="preserve"> are satisfied with our work on behalf of local government.   This represents a significant increase on 2013 (70 per cent)</w:t>
      </w:r>
      <w:r w:rsidR="00072926">
        <w:rPr>
          <w:sz w:val="22"/>
        </w:rPr>
        <w:t xml:space="preserve"> and is in line with 2014 (75 per cent)</w:t>
      </w:r>
      <w:r w:rsidRPr="00072926">
        <w:rPr>
          <w:sz w:val="22"/>
        </w:rPr>
        <w:t>.</w:t>
      </w:r>
    </w:p>
    <w:p w14:paraId="56A920D7" w14:textId="77777777" w:rsidR="00001EEF" w:rsidRDefault="00001EEF" w:rsidP="00001EEF">
      <w:pPr>
        <w:pStyle w:val="ListParagraph"/>
        <w:numPr>
          <w:ilvl w:val="0"/>
          <w:numId w:val="0"/>
        </w:numPr>
        <w:spacing w:before="0" w:after="0" w:line="240" w:lineRule="auto"/>
        <w:ind w:left="1134"/>
        <w:rPr>
          <w:sz w:val="22"/>
        </w:rPr>
      </w:pPr>
    </w:p>
    <w:p w14:paraId="744DEC52" w14:textId="5119679F" w:rsidR="00171D54" w:rsidRDefault="00B9679E" w:rsidP="00B9679E">
      <w:pPr>
        <w:pStyle w:val="ListParagraph"/>
        <w:numPr>
          <w:ilvl w:val="1"/>
          <w:numId w:val="8"/>
        </w:numPr>
        <w:spacing w:before="0" w:after="0" w:line="240" w:lineRule="auto"/>
        <w:rPr>
          <w:sz w:val="22"/>
        </w:rPr>
      </w:pPr>
      <w:r w:rsidRPr="00001EEF">
        <w:rPr>
          <w:b/>
          <w:sz w:val="22"/>
        </w:rPr>
        <w:t>Officers</w:t>
      </w:r>
      <w:r w:rsidRPr="00001EEF">
        <w:rPr>
          <w:sz w:val="22"/>
        </w:rPr>
        <w:t xml:space="preserve"> and </w:t>
      </w:r>
      <w:r w:rsidRPr="00001EEF">
        <w:rPr>
          <w:b/>
          <w:sz w:val="22"/>
        </w:rPr>
        <w:t>frontbench councillors</w:t>
      </w:r>
      <w:r w:rsidRPr="00001EEF">
        <w:rPr>
          <w:sz w:val="22"/>
        </w:rPr>
        <w:t xml:space="preserve"> </w:t>
      </w:r>
      <w:r w:rsidR="001D1D04" w:rsidRPr="00001EEF">
        <w:rPr>
          <w:sz w:val="22"/>
        </w:rPr>
        <w:t>continue</w:t>
      </w:r>
      <w:r w:rsidRPr="00001EEF">
        <w:rPr>
          <w:sz w:val="22"/>
        </w:rPr>
        <w:t xml:space="preserve"> to be satisfied</w:t>
      </w:r>
      <w:r w:rsidR="001D1D04" w:rsidRPr="00001EEF">
        <w:rPr>
          <w:sz w:val="22"/>
        </w:rPr>
        <w:t xml:space="preserve"> with the work of the LGA </w:t>
      </w:r>
      <w:r w:rsidRPr="00001EEF">
        <w:rPr>
          <w:sz w:val="22"/>
        </w:rPr>
        <w:t>(</w:t>
      </w:r>
      <w:r w:rsidRPr="00001EEF">
        <w:rPr>
          <w:b/>
          <w:sz w:val="22"/>
        </w:rPr>
        <w:t>8</w:t>
      </w:r>
      <w:r w:rsidR="001D1D04" w:rsidRPr="00001EEF">
        <w:rPr>
          <w:b/>
          <w:sz w:val="22"/>
        </w:rPr>
        <w:t>1</w:t>
      </w:r>
      <w:r w:rsidRPr="00001EEF">
        <w:rPr>
          <w:b/>
          <w:sz w:val="22"/>
        </w:rPr>
        <w:t xml:space="preserve"> per cent</w:t>
      </w:r>
      <w:r w:rsidRPr="00001EEF">
        <w:rPr>
          <w:sz w:val="22"/>
        </w:rPr>
        <w:t xml:space="preserve"> of officers and </w:t>
      </w:r>
      <w:r w:rsidR="001D1D04" w:rsidRPr="00001EEF">
        <w:rPr>
          <w:b/>
          <w:sz w:val="22"/>
        </w:rPr>
        <w:t xml:space="preserve">74 </w:t>
      </w:r>
      <w:r w:rsidRPr="00001EEF">
        <w:rPr>
          <w:b/>
          <w:sz w:val="22"/>
        </w:rPr>
        <w:t>per cent</w:t>
      </w:r>
      <w:r w:rsidR="001D1D04" w:rsidRPr="00001EEF">
        <w:rPr>
          <w:sz w:val="22"/>
        </w:rPr>
        <w:t xml:space="preserve"> </w:t>
      </w:r>
      <w:r w:rsidRPr="00001EEF">
        <w:rPr>
          <w:sz w:val="22"/>
        </w:rPr>
        <w:t>of frontbench councillors</w:t>
      </w:r>
      <w:r w:rsidR="001D1D04" w:rsidRPr="00001EEF">
        <w:rPr>
          <w:sz w:val="22"/>
        </w:rPr>
        <w:t>)</w:t>
      </w:r>
      <w:r w:rsidR="00B07D0C" w:rsidRPr="00001EEF">
        <w:rPr>
          <w:sz w:val="22"/>
        </w:rPr>
        <w:t xml:space="preserve">.  </w:t>
      </w:r>
      <w:r w:rsidR="00171D54" w:rsidRPr="00001EEF">
        <w:rPr>
          <w:sz w:val="22"/>
        </w:rPr>
        <w:t>T</w:t>
      </w:r>
      <w:r w:rsidR="001D1D04" w:rsidRPr="00001EEF">
        <w:rPr>
          <w:sz w:val="22"/>
        </w:rPr>
        <w:t xml:space="preserve">here has </w:t>
      </w:r>
      <w:r w:rsidR="00171D54" w:rsidRPr="00001EEF">
        <w:rPr>
          <w:sz w:val="22"/>
        </w:rPr>
        <w:t xml:space="preserve">also </w:t>
      </w:r>
      <w:r w:rsidR="001D1D04" w:rsidRPr="00001EEF">
        <w:rPr>
          <w:sz w:val="22"/>
        </w:rPr>
        <w:t xml:space="preserve">been a significant increase in the satisfaction amongst </w:t>
      </w:r>
      <w:r w:rsidR="001D1D04" w:rsidRPr="00001EEF">
        <w:rPr>
          <w:b/>
          <w:sz w:val="22"/>
        </w:rPr>
        <w:t>backbench councillors</w:t>
      </w:r>
      <w:r w:rsidR="001D1D04" w:rsidRPr="00001EEF">
        <w:rPr>
          <w:sz w:val="22"/>
        </w:rPr>
        <w:t xml:space="preserve">, increasing from 67 per cent in 2014 to </w:t>
      </w:r>
      <w:r w:rsidR="001D1D04" w:rsidRPr="00001EEF">
        <w:rPr>
          <w:b/>
          <w:sz w:val="22"/>
        </w:rPr>
        <w:t>73 per cent</w:t>
      </w:r>
      <w:r w:rsidR="001D1D04" w:rsidRPr="00001EEF">
        <w:rPr>
          <w:sz w:val="22"/>
        </w:rPr>
        <w:t xml:space="preserve"> in 2015</w:t>
      </w:r>
      <w:r w:rsidRPr="00001EEF">
        <w:rPr>
          <w:sz w:val="22"/>
        </w:rPr>
        <w:t xml:space="preserve">. </w:t>
      </w:r>
      <w:r w:rsidR="00171D54" w:rsidRPr="00001EEF">
        <w:rPr>
          <w:sz w:val="22"/>
        </w:rPr>
        <w:t>By role:</w:t>
      </w:r>
    </w:p>
    <w:p w14:paraId="54ACA4BD" w14:textId="77777777" w:rsidR="00001EEF" w:rsidRDefault="00001EEF" w:rsidP="00001EEF">
      <w:pPr>
        <w:ind w:left="1282" w:firstLine="306"/>
        <w:rPr>
          <w:sz w:val="22"/>
        </w:rPr>
      </w:pPr>
    </w:p>
    <w:p w14:paraId="4BA062E9" w14:textId="77777777" w:rsidR="00001EEF" w:rsidRDefault="00171D54" w:rsidP="00001EEF">
      <w:pPr>
        <w:ind w:left="1282" w:firstLine="306"/>
        <w:rPr>
          <w:sz w:val="22"/>
        </w:rPr>
      </w:pPr>
      <w:r w:rsidRPr="00001EEF">
        <w:rPr>
          <w:sz w:val="22"/>
        </w:rPr>
        <w:t>83 per cent of p</w:t>
      </w:r>
      <w:r w:rsidR="00001EEF">
        <w:rPr>
          <w:sz w:val="22"/>
        </w:rPr>
        <w:t>ortfolio holders</w:t>
      </w:r>
    </w:p>
    <w:p w14:paraId="744DEC54" w14:textId="62FF6EE4" w:rsidR="00171D54" w:rsidRPr="00001EEF" w:rsidRDefault="00171D54" w:rsidP="00001EEF">
      <w:pPr>
        <w:ind w:left="1282" w:firstLine="306"/>
        <w:rPr>
          <w:sz w:val="22"/>
        </w:rPr>
      </w:pPr>
      <w:r w:rsidRPr="00001EEF">
        <w:rPr>
          <w:sz w:val="22"/>
        </w:rPr>
        <w:t xml:space="preserve">82 per cent of directors </w:t>
      </w:r>
    </w:p>
    <w:p w14:paraId="744DEC55" w14:textId="77777777" w:rsidR="008E7BE3" w:rsidRPr="00001EEF" w:rsidRDefault="00171D54" w:rsidP="00001EEF">
      <w:pPr>
        <w:ind w:left="868" w:firstLine="720"/>
        <w:rPr>
          <w:sz w:val="22"/>
        </w:rPr>
      </w:pPr>
      <w:r w:rsidRPr="00001EEF">
        <w:rPr>
          <w:sz w:val="22"/>
        </w:rPr>
        <w:t>80 per cent of c</w:t>
      </w:r>
      <w:r w:rsidR="00B9679E" w:rsidRPr="00001EEF">
        <w:rPr>
          <w:sz w:val="22"/>
        </w:rPr>
        <w:t>hief executives</w:t>
      </w:r>
    </w:p>
    <w:p w14:paraId="744DEC56" w14:textId="77777777" w:rsidR="008E7BE3" w:rsidRPr="00001EEF" w:rsidRDefault="008E7BE3" w:rsidP="00001EEF">
      <w:pPr>
        <w:ind w:left="1282" w:firstLine="306"/>
        <w:rPr>
          <w:sz w:val="22"/>
        </w:rPr>
      </w:pPr>
      <w:r w:rsidRPr="00001EEF">
        <w:rPr>
          <w:sz w:val="22"/>
        </w:rPr>
        <w:t xml:space="preserve">80 per cent of leaders </w:t>
      </w:r>
    </w:p>
    <w:p w14:paraId="744DEC57" w14:textId="77777777" w:rsidR="00171D54" w:rsidRDefault="00171D54" w:rsidP="00001EEF">
      <w:pPr>
        <w:ind w:left="1282" w:firstLine="306"/>
        <w:rPr>
          <w:sz w:val="22"/>
        </w:rPr>
      </w:pPr>
      <w:r w:rsidRPr="00001EEF">
        <w:rPr>
          <w:sz w:val="22"/>
        </w:rPr>
        <w:t xml:space="preserve">60 </w:t>
      </w:r>
      <w:r w:rsidR="00B9679E" w:rsidRPr="00001EEF">
        <w:rPr>
          <w:sz w:val="22"/>
        </w:rPr>
        <w:t xml:space="preserve">per cent of chairs of scrutiny </w:t>
      </w:r>
    </w:p>
    <w:p w14:paraId="7E38C0B8" w14:textId="77777777" w:rsidR="00001EEF" w:rsidRPr="00001EEF" w:rsidRDefault="00001EEF" w:rsidP="00001EEF">
      <w:pPr>
        <w:rPr>
          <w:sz w:val="22"/>
        </w:rPr>
      </w:pPr>
    </w:p>
    <w:p w14:paraId="744DEC58" w14:textId="77777777" w:rsidR="00B9679E" w:rsidRPr="00072926" w:rsidRDefault="00B9679E" w:rsidP="00001EEF">
      <w:pPr>
        <w:pStyle w:val="ListParagraph"/>
        <w:numPr>
          <w:ilvl w:val="1"/>
          <w:numId w:val="8"/>
        </w:numPr>
        <w:spacing w:before="0" w:after="0" w:line="240" w:lineRule="auto"/>
        <w:rPr>
          <w:rFonts w:cs="Arial"/>
          <w:sz w:val="22"/>
        </w:rPr>
      </w:pPr>
      <w:r w:rsidRPr="00481AB6">
        <w:rPr>
          <w:rFonts w:cs="Arial"/>
          <w:b/>
          <w:sz w:val="22"/>
        </w:rPr>
        <w:t>Satisfaction is highest in the South West (</w:t>
      </w:r>
      <w:r w:rsidR="002B7A13" w:rsidRPr="00481AB6">
        <w:rPr>
          <w:rFonts w:cs="Arial"/>
          <w:b/>
          <w:sz w:val="22"/>
        </w:rPr>
        <w:t xml:space="preserve">88 </w:t>
      </w:r>
      <w:r w:rsidRPr="00481AB6">
        <w:rPr>
          <w:rFonts w:cs="Arial"/>
          <w:b/>
          <w:sz w:val="22"/>
        </w:rPr>
        <w:t xml:space="preserve">per cent) and the </w:t>
      </w:r>
      <w:r w:rsidR="002B7A13" w:rsidRPr="00481AB6">
        <w:rPr>
          <w:rFonts w:cs="Arial"/>
          <w:b/>
          <w:sz w:val="22"/>
        </w:rPr>
        <w:t xml:space="preserve">West Midlands </w:t>
      </w:r>
      <w:r w:rsidRPr="00171D54">
        <w:rPr>
          <w:rFonts w:cs="Arial"/>
          <w:b/>
          <w:sz w:val="22"/>
        </w:rPr>
        <w:t>(</w:t>
      </w:r>
      <w:r w:rsidR="002B7A13" w:rsidRPr="00242808">
        <w:rPr>
          <w:rFonts w:cs="Arial"/>
          <w:b/>
          <w:sz w:val="22"/>
        </w:rPr>
        <w:t xml:space="preserve">85 </w:t>
      </w:r>
      <w:r w:rsidRPr="00242808">
        <w:rPr>
          <w:rFonts w:cs="Arial"/>
          <w:b/>
          <w:sz w:val="22"/>
        </w:rPr>
        <w:t>per cent)</w:t>
      </w:r>
      <w:r w:rsidRPr="00072926">
        <w:rPr>
          <w:rFonts w:cs="Arial"/>
          <w:sz w:val="22"/>
        </w:rPr>
        <w:t xml:space="preserve"> and </w:t>
      </w:r>
      <w:r w:rsidRPr="00001EEF">
        <w:rPr>
          <w:sz w:val="22"/>
        </w:rPr>
        <w:t>lowest</w:t>
      </w:r>
      <w:r w:rsidRPr="00072926">
        <w:rPr>
          <w:rFonts w:cs="Arial"/>
          <w:sz w:val="22"/>
        </w:rPr>
        <w:t xml:space="preserve"> within </w:t>
      </w:r>
      <w:r w:rsidR="002B7A13">
        <w:rPr>
          <w:rFonts w:cs="Arial"/>
          <w:sz w:val="22"/>
        </w:rPr>
        <w:t xml:space="preserve">Yorkshire &amp; Humber </w:t>
      </w:r>
      <w:r w:rsidRPr="00072926">
        <w:rPr>
          <w:rFonts w:cs="Arial"/>
          <w:sz w:val="22"/>
        </w:rPr>
        <w:t>(</w:t>
      </w:r>
      <w:r w:rsidR="002B7A13" w:rsidRPr="00072926">
        <w:rPr>
          <w:rFonts w:cs="Arial"/>
          <w:sz w:val="22"/>
        </w:rPr>
        <w:t>6</w:t>
      </w:r>
      <w:r w:rsidR="002B7A13">
        <w:rPr>
          <w:rFonts w:cs="Arial"/>
          <w:sz w:val="22"/>
        </w:rPr>
        <w:t>8</w:t>
      </w:r>
      <w:r w:rsidR="002B7A13" w:rsidRPr="00072926">
        <w:rPr>
          <w:rFonts w:cs="Arial"/>
          <w:sz w:val="22"/>
        </w:rPr>
        <w:t xml:space="preserve"> </w:t>
      </w:r>
      <w:r w:rsidRPr="00072926">
        <w:rPr>
          <w:rFonts w:cs="Arial"/>
          <w:sz w:val="22"/>
        </w:rPr>
        <w:t xml:space="preserve">per cent). </w:t>
      </w:r>
    </w:p>
    <w:p w14:paraId="744DEC5A" w14:textId="77777777" w:rsidR="00B9679E" w:rsidRPr="001D1D04" w:rsidRDefault="00B9679E" w:rsidP="00B9679E">
      <w:pPr>
        <w:rPr>
          <w:b/>
          <w:sz w:val="22"/>
          <w:szCs w:val="22"/>
        </w:rPr>
      </w:pPr>
    </w:p>
    <w:p w14:paraId="744DEC5B" w14:textId="2194C195" w:rsidR="00B9679E" w:rsidRDefault="00B9679E" w:rsidP="00001EEF">
      <w:pPr>
        <w:ind w:left="414" w:firstLine="720"/>
        <w:rPr>
          <w:b/>
          <w:sz w:val="22"/>
          <w:szCs w:val="22"/>
        </w:rPr>
      </w:pPr>
      <w:r w:rsidRPr="00072926">
        <w:rPr>
          <w:b/>
          <w:sz w:val="22"/>
          <w:szCs w:val="22"/>
        </w:rPr>
        <w:t>LGA capabilities</w:t>
      </w:r>
    </w:p>
    <w:p w14:paraId="36E2EA09" w14:textId="77777777" w:rsidR="00001EEF" w:rsidRPr="00072926" w:rsidRDefault="00001EEF" w:rsidP="00001EEF">
      <w:pPr>
        <w:ind w:left="414" w:firstLine="720"/>
        <w:rPr>
          <w:b/>
          <w:sz w:val="22"/>
          <w:szCs w:val="22"/>
        </w:rPr>
      </w:pPr>
    </w:p>
    <w:p w14:paraId="744DEC5C" w14:textId="77777777" w:rsidR="00B9679E" w:rsidRPr="00072926" w:rsidRDefault="00B9679E" w:rsidP="00001EEF">
      <w:pPr>
        <w:pStyle w:val="ListParagraph"/>
        <w:numPr>
          <w:ilvl w:val="1"/>
          <w:numId w:val="8"/>
        </w:numPr>
        <w:spacing w:before="0" w:after="0" w:line="240" w:lineRule="auto"/>
        <w:rPr>
          <w:sz w:val="22"/>
        </w:rPr>
      </w:pPr>
      <w:r w:rsidRPr="00072926">
        <w:rPr>
          <w:sz w:val="22"/>
        </w:rPr>
        <w:t>The majority of respondents agree that we stand up for and defend the reputation of local government (</w:t>
      </w:r>
      <w:r w:rsidRPr="00072926">
        <w:rPr>
          <w:b/>
          <w:sz w:val="22"/>
        </w:rPr>
        <w:t>86 per cent</w:t>
      </w:r>
      <w:r w:rsidRPr="00072926">
        <w:rPr>
          <w:sz w:val="22"/>
        </w:rPr>
        <w:t>) and that we address the issues that are important to councils (</w:t>
      </w:r>
      <w:r w:rsidR="00F833C5" w:rsidRPr="00072926">
        <w:rPr>
          <w:b/>
          <w:sz w:val="22"/>
        </w:rPr>
        <w:t>8</w:t>
      </w:r>
      <w:r w:rsidR="00F833C5">
        <w:rPr>
          <w:b/>
          <w:sz w:val="22"/>
        </w:rPr>
        <w:t>6</w:t>
      </w:r>
      <w:r w:rsidR="00F833C5" w:rsidRPr="00072926">
        <w:rPr>
          <w:b/>
          <w:sz w:val="22"/>
        </w:rPr>
        <w:t xml:space="preserve"> </w:t>
      </w:r>
      <w:r w:rsidRPr="00072926">
        <w:rPr>
          <w:b/>
          <w:sz w:val="22"/>
        </w:rPr>
        <w:t>per cent</w:t>
      </w:r>
      <w:r w:rsidRPr="00072926">
        <w:rPr>
          <w:sz w:val="22"/>
        </w:rPr>
        <w:t>)</w:t>
      </w:r>
      <w:r w:rsidR="0059744F">
        <w:rPr>
          <w:sz w:val="22"/>
        </w:rPr>
        <w:t xml:space="preserve"> - </w:t>
      </w:r>
      <w:r w:rsidR="00171D54">
        <w:rPr>
          <w:sz w:val="22"/>
        </w:rPr>
        <w:t>both in line with 2014</w:t>
      </w:r>
      <w:r w:rsidRPr="00072926">
        <w:rPr>
          <w:sz w:val="22"/>
        </w:rPr>
        <w:t>.</w:t>
      </w:r>
    </w:p>
    <w:p w14:paraId="744DEC5D" w14:textId="77777777" w:rsidR="00B9679E" w:rsidRPr="00072926" w:rsidRDefault="00B9679E" w:rsidP="00B9679E">
      <w:pPr>
        <w:rPr>
          <w:sz w:val="22"/>
          <w:szCs w:val="22"/>
        </w:rPr>
      </w:pPr>
    </w:p>
    <w:p w14:paraId="744DEC5E" w14:textId="77777777" w:rsidR="00B9679E" w:rsidRPr="00072926" w:rsidRDefault="00B9679E" w:rsidP="00001EEF">
      <w:pPr>
        <w:pStyle w:val="ListParagraph"/>
        <w:numPr>
          <w:ilvl w:val="1"/>
          <w:numId w:val="8"/>
        </w:numPr>
        <w:spacing w:before="0" w:after="0" w:line="240" w:lineRule="auto"/>
        <w:rPr>
          <w:rFonts w:cs="Arial"/>
          <w:b/>
          <w:sz w:val="22"/>
        </w:rPr>
      </w:pPr>
      <w:r w:rsidRPr="00072926">
        <w:rPr>
          <w:sz w:val="22"/>
        </w:rPr>
        <w:t xml:space="preserve">More than three-quarters agree that </w:t>
      </w:r>
      <w:r w:rsidR="00B07D0C">
        <w:rPr>
          <w:sz w:val="22"/>
        </w:rPr>
        <w:t>‘</w:t>
      </w:r>
      <w:r w:rsidRPr="00072926">
        <w:rPr>
          <w:sz w:val="22"/>
        </w:rPr>
        <w:t>we understand what councils need to help them improve their services and organisational capacity</w:t>
      </w:r>
      <w:r w:rsidR="00B07D0C">
        <w:rPr>
          <w:sz w:val="22"/>
        </w:rPr>
        <w:t>’</w:t>
      </w:r>
      <w:r w:rsidRPr="00072926">
        <w:rPr>
          <w:sz w:val="22"/>
        </w:rPr>
        <w:t xml:space="preserve"> (</w:t>
      </w:r>
      <w:r w:rsidR="00F833C5">
        <w:rPr>
          <w:b/>
          <w:sz w:val="22"/>
        </w:rPr>
        <w:t>81</w:t>
      </w:r>
      <w:r w:rsidR="00F833C5" w:rsidRPr="00072926">
        <w:rPr>
          <w:b/>
          <w:sz w:val="22"/>
        </w:rPr>
        <w:t xml:space="preserve"> </w:t>
      </w:r>
      <w:r w:rsidRPr="00072926">
        <w:rPr>
          <w:b/>
          <w:sz w:val="22"/>
        </w:rPr>
        <w:t>per cent</w:t>
      </w:r>
      <w:r w:rsidRPr="00072926">
        <w:rPr>
          <w:sz w:val="22"/>
        </w:rPr>
        <w:t>); effectively represents the views of our members to central government (</w:t>
      </w:r>
      <w:r w:rsidR="00F833C5" w:rsidRPr="00072926">
        <w:rPr>
          <w:b/>
          <w:sz w:val="22"/>
        </w:rPr>
        <w:t>7</w:t>
      </w:r>
      <w:r w:rsidR="00F833C5">
        <w:rPr>
          <w:b/>
          <w:sz w:val="22"/>
        </w:rPr>
        <w:t>7</w:t>
      </w:r>
      <w:r w:rsidR="00F833C5" w:rsidRPr="00072926">
        <w:rPr>
          <w:b/>
          <w:sz w:val="22"/>
        </w:rPr>
        <w:t xml:space="preserve"> </w:t>
      </w:r>
      <w:r w:rsidRPr="00072926">
        <w:rPr>
          <w:b/>
          <w:sz w:val="22"/>
        </w:rPr>
        <w:t>per cen</w:t>
      </w:r>
      <w:r w:rsidRPr="00F551D4">
        <w:rPr>
          <w:b/>
          <w:sz w:val="22"/>
        </w:rPr>
        <w:t>t</w:t>
      </w:r>
      <w:r w:rsidRPr="00072926">
        <w:rPr>
          <w:sz w:val="22"/>
        </w:rPr>
        <w:t>); and help to set and drive improvement in local government (</w:t>
      </w:r>
      <w:r w:rsidR="00F833C5" w:rsidRPr="00072926">
        <w:rPr>
          <w:b/>
          <w:sz w:val="22"/>
        </w:rPr>
        <w:t>7</w:t>
      </w:r>
      <w:r w:rsidR="00F833C5">
        <w:rPr>
          <w:b/>
          <w:sz w:val="22"/>
        </w:rPr>
        <w:t>9</w:t>
      </w:r>
      <w:r w:rsidR="00F833C5" w:rsidRPr="00072926">
        <w:rPr>
          <w:sz w:val="22"/>
        </w:rPr>
        <w:t xml:space="preserve"> </w:t>
      </w:r>
      <w:r w:rsidRPr="00072926">
        <w:rPr>
          <w:b/>
          <w:sz w:val="22"/>
        </w:rPr>
        <w:t>per cent</w:t>
      </w:r>
      <w:r w:rsidRPr="00072926">
        <w:rPr>
          <w:sz w:val="22"/>
        </w:rPr>
        <w:t xml:space="preserve">). </w:t>
      </w:r>
      <w:r w:rsidR="00F833C5">
        <w:rPr>
          <w:sz w:val="22"/>
        </w:rPr>
        <w:t xml:space="preserve">Results are in line with 2014 findings. </w:t>
      </w:r>
      <w:r w:rsidRPr="00072926">
        <w:rPr>
          <w:sz w:val="22"/>
        </w:rPr>
        <w:t xml:space="preserve"> </w:t>
      </w:r>
    </w:p>
    <w:p w14:paraId="744DEC5F" w14:textId="77777777" w:rsidR="00B9679E" w:rsidRPr="00072926" w:rsidRDefault="00B9679E" w:rsidP="00B9679E">
      <w:pPr>
        <w:rPr>
          <w:rFonts w:cs="Arial"/>
          <w:b/>
          <w:sz w:val="22"/>
          <w:szCs w:val="22"/>
        </w:rPr>
      </w:pPr>
    </w:p>
    <w:p w14:paraId="744DEC60" w14:textId="77777777" w:rsidR="00B9679E" w:rsidRDefault="00B9679E" w:rsidP="00001EEF">
      <w:pPr>
        <w:pStyle w:val="ListParagraph"/>
        <w:numPr>
          <w:ilvl w:val="1"/>
          <w:numId w:val="8"/>
        </w:numPr>
        <w:spacing w:before="0" w:after="0" w:line="240" w:lineRule="auto"/>
        <w:rPr>
          <w:rFonts w:cs="Arial"/>
          <w:sz w:val="22"/>
        </w:rPr>
      </w:pPr>
      <w:r w:rsidRPr="00E660F7">
        <w:rPr>
          <w:rFonts w:cs="Arial"/>
          <w:b/>
          <w:sz w:val="22"/>
        </w:rPr>
        <w:t xml:space="preserve">Fifty </w:t>
      </w:r>
      <w:r w:rsidR="006A54F7" w:rsidRPr="00E660F7">
        <w:rPr>
          <w:rFonts w:cs="Arial"/>
          <w:b/>
          <w:sz w:val="22"/>
        </w:rPr>
        <w:t xml:space="preserve">six </w:t>
      </w:r>
      <w:r w:rsidRPr="00E660F7">
        <w:rPr>
          <w:rFonts w:cs="Arial"/>
          <w:b/>
          <w:sz w:val="22"/>
        </w:rPr>
        <w:t>per cent</w:t>
      </w:r>
      <w:r w:rsidRPr="00E660F7">
        <w:rPr>
          <w:rFonts w:cs="Arial"/>
          <w:sz w:val="22"/>
        </w:rPr>
        <w:t xml:space="preserve"> </w:t>
      </w:r>
      <w:r w:rsidRPr="00E660F7">
        <w:rPr>
          <w:rFonts w:cs="Arial"/>
          <w:b/>
          <w:sz w:val="22"/>
        </w:rPr>
        <w:t>agree that we demonstrate value for money</w:t>
      </w:r>
      <w:r w:rsidRPr="00E660F7">
        <w:rPr>
          <w:rFonts w:cs="Arial"/>
          <w:sz w:val="22"/>
        </w:rPr>
        <w:t xml:space="preserve">, which is </w:t>
      </w:r>
      <w:r w:rsidR="00E660F7" w:rsidRPr="00E660F7">
        <w:rPr>
          <w:rFonts w:cs="Arial"/>
          <w:sz w:val="22"/>
        </w:rPr>
        <w:t>an</w:t>
      </w:r>
      <w:r w:rsidR="00B07D0C" w:rsidRPr="00E660F7">
        <w:rPr>
          <w:rFonts w:cs="Arial"/>
          <w:sz w:val="22"/>
        </w:rPr>
        <w:t xml:space="preserve"> increase on </w:t>
      </w:r>
      <w:r w:rsidRPr="00E660F7">
        <w:rPr>
          <w:rFonts w:cs="Arial"/>
          <w:sz w:val="22"/>
        </w:rPr>
        <w:t>2013</w:t>
      </w:r>
      <w:r w:rsidR="006A54F7" w:rsidRPr="00E660F7">
        <w:rPr>
          <w:rFonts w:cs="Arial"/>
          <w:sz w:val="22"/>
        </w:rPr>
        <w:t xml:space="preserve"> and 2014</w:t>
      </w:r>
      <w:r w:rsidRPr="00E660F7">
        <w:rPr>
          <w:rFonts w:cs="Arial"/>
          <w:sz w:val="22"/>
        </w:rPr>
        <w:t>. This is broken down by role as:</w:t>
      </w:r>
    </w:p>
    <w:p w14:paraId="5DD10613" w14:textId="77777777" w:rsidR="00001EEF" w:rsidRDefault="00001EEF" w:rsidP="00001EEF">
      <w:pPr>
        <w:ind w:left="1282" w:firstLine="306"/>
        <w:rPr>
          <w:sz w:val="22"/>
        </w:rPr>
      </w:pPr>
    </w:p>
    <w:p w14:paraId="744DEC61" w14:textId="77777777" w:rsidR="006A54F7" w:rsidRPr="00001EEF" w:rsidRDefault="006A54F7" w:rsidP="00001EEF">
      <w:pPr>
        <w:ind w:left="1282" w:firstLine="306"/>
        <w:rPr>
          <w:sz w:val="22"/>
        </w:rPr>
      </w:pPr>
      <w:r w:rsidRPr="00001EEF">
        <w:rPr>
          <w:sz w:val="22"/>
        </w:rPr>
        <w:t>72 per cent of leaders (significant increase from 67 per cent)</w:t>
      </w:r>
    </w:p>
    <w:p w14:paraId="744DEC62" w14:textId="77777777" w:rsidR="008E7BE3" w:rsidRPr="00001EEF" w:rsidRDefault="00B9679E" w:rsidP="00001EEF">
      <w:pPr>
        <w:ind w:left="1282" w:firstLine="306"/>
        <w:rPr>
          <w:sz w:val="22"/>
        </w:rPr>
      </w:pPr>
      <w:r w:rsidRPr="00001EEF">
        <w:rPr>
          <w:sz w:val="22"/>
        </w:rPr>
        <w:t>70 per cent of chief executives</w:t>
      </w:r>
    </w:p>
    <w:p w14:paraId="744DEC63" w14:textId="77777777" w:rsidR="008E7BE3" w:rsidRPr="00001EEF" w:rsidRDefault="008E7BE3" w:rsidP="00001EEF">
      <w:pPr>
        <w:ind w:left="1282" w:firstLine="306"/>
        <w:rPr>
          <w:sz w:val="22"/>
        </w:rPr>
      </w:pPr>
      <w:r w:rsidRPr="00001EEF">
        <w:rPr>
          <w:sz w:val="22"/>
        </w:rPr>
        <w:t xml:space="preserve">59 per cent of portfolio holders (significant increase from 46 per cent) </w:t>
      </w:r>
    </w:p>
    <w:p w14:paraId="744DEC64" w14:textId="77777777" w:rsidR="00B9679E" w:rsidRPr="00001EEF" w:rsidRDefault="006A54F7" w:rsidP="00001EEF">
      <w:pPr>
        <w:ind w:left="1282" w:firstLine="306"/>
        <w:rPr>
          <w:sz w:val="22"/>
        </w:rPr>
      </w:pPr>
      <w:r w:rsidRPr="00001EEF">
        <w:rPr>
          <w:sz w:val="22"/>
        </w:rPr>
        <w:t xml:space="preserve">57 </w:t>
      </w:r>
      <w:r w:rsidR="00B9679E" w:rsidRPr="00001EEF">
        <w:rPr>
          <w:sz w:val="22"/>
        </w:rPr>
        <w:t>per cent of directors</w:t>
      </w:r>
      <w:r w:rsidRPr="00001EEF">
        <w:rPr>
          <w:sz w:val="22"/>
        </w:rPr>
        <w:t xml:space="preserve"> (significant increase from 51 per cent)</w:t>
      </w:r>
      <w:r w:rsidR="00B9679E" w:rsidRPr="00001EEF">
        <w:rPr>
          <w:sz w:val="22"/>
        </w:rPr>
        <w:t>,</w:t>
      </w:r>
      <w:r w:rsidRPr="00001EEF">
        <w:rPr>
          <w:sz w:val="22"/>
        </w:rPr>
        <w:t xml:space="preserve"> </w:t>
      </w:r>
      <w:r w:rsidR="00B9679E" w:rsidRPr="00001EEF">
        <w:rPr>
          <w:sz w:val="22"/>
        </w:rPr>
        <w:t xml:space="preserve"> </w:t>
      </w:r>
    </w:p>
    <w:p w14:paraId="744DEC65" w14:textId="6BB5E519" w:rsidR="00B9679E" w:rsidRPr="00001EEF" w:rsidRDefault="006A54F7" w:rsidP="00001EEF">
      <w:pPr>
        <w:ind w:left="1282" w:firstLine="306"/>
        <w:rPr>
          <w:sz w:val="22"/>
        </w:rPr>
      </w:pPr>
      <w:r w:rsidRPr="00001EEF">
        <w:rPr>
          <w:sz w:val="22"/>
        </w:rPr>
        <w:t xml:space="preserve">54 </w:t>
      </w:r>
      <w:r w:rsidR="00B9679E" w:rsidRPr="00001EEF">
        <w:rPr>
          <w:sz w:val="22"/>
        </w:rPr>
        <w:t xml:space="preserve">per cent of chairs of scrutiny </w:t>
      </w:r>
    </w:p>
    <w:p w14:paraId="744DEC66" w14:textId="77777777" w:rsidR="00367EAF" w:rsidRPr="00001EEF" w:rsidRDefault="006A54F7" w:rsidP="00001EEF">
      <w:pPr>
        <w:ind w:left="1282" w:firstLine="306"/>
        <w:rPr>
          <w:sz w:val="22"/>
        </w:rPr>
      </w:pPr>
      <w:r w:rsidRPr="00001EEF">
        <w:rPr>
          <w:sz w:val="22"/>
        </w:rPr>
        <w:t xml:space="preserve">50 per cent of backbench councillors </w:t>
      </w:r>
    </w:p>
    <w:p w14:paraId="744DEC67" w14:textId="77777777" w:rsidR="00B9679E" w:rsidRPr="001D1D04" w:rsidRDefault="00B9679E" w:rsidP="00F21D9B">
      <w:pPr>
        <w:rPr>
          <w:sz w:val="22"/>
          <w:szCs w:val="22"/>
        </w:rPr>
      </w:pPr>
    </w:p>
    <w:p w14:paraId="744DEC68" w14:textId="3BC0927F" w:rsidR="00B9679E" w:rsidRDefault="00B9679E" w:rsidP="00001EEF">
      <w:pPr>
        <w:ind w:left="1134"/>
        <w:rPr>
          <w:b/>
          <w:sz w:val="22"/>
          <w:szCs w:val="22"/>
        </w:rPr>
      </w:pPr>
      <w:r w:rsidRPr="00401A97">
        <w:rPr>
          <w:b/>
          <w:sz w:val="22"/>
          <w:szCs w:val="22"/>
        </w:rPr>
        <w:t>Extent to which the LGA been an effective advocate for the interests of local government</w:t>
      </w:r>
    </w:p>
    <w:p w14:paraId="65C0E874" w14:textId="77777777" w:rsidR="00001EEF" w:rsidRPr="00401A97" w:rsidRDefault="00001EEF" w:rsidP="00001EEF">
      <w:pPr>
        <w:ind w:left="1440"/>
        <w:rPr>
          <w:b/>
          <w:sz w:val="22"/>
          <w:szCs w:val="22"/>
        </w:rPr>
      </w:pPr>
    </w:p>
    <w:p w14:paraId="744DEC69" w14:textId="77777777" w:rsidR="00B9679E" w:rsidRPr="00401A97" w:rsidRDefault="00B9679E" w:rsidP="00001EEF">
      <w:pPr>
        <w:pStyle w:val="ListParagraph"/>
        <w:numPr>
          <w:ilvl w:val="1"/>
          <w:numId w:val="8"/>
        </w:numPr>
        <w:spacing w:before="0" w:after="0" w:line="240" w:lineRule="auto"/>
        <w:rPr>
          <w:sz w:val="22"/>
        </w:rPr>
      </w:pPr>
      <w:r w:rsidRPr="00401A97">
        <w:rPr>
          <w:sz w:val="22"/>
        </w:rPr>
        <w:t>The majority of respondents (</w:t>
      </w:r>
      <w:r w:rsidRPr="00401A97">
        <w:rPr>
          <w:b/>
          <w:sz w:val="22"/>
        </w:rPr>
        <w:t>8</w:t>
      </w:r>
      <w:r w:rsidR="00401A97">
        <w:rPr>
          <w:b/>
          <w:sz w:val="22"/>
        </w:rPr>
        <w:t>5</w:t>
      </w:r>
      <w:r w:rsidRPr="00401A97">
        <w:rPr>
          <w:b/>
          <w:sz w:val="22"/>
        </w:rPr>
        <w:t xml:space="preserve"> per cent</w:t>
      </w:r>
      <w:r w:rsidRPr="00401A97">
        <w:rPr>
          <w:sz w:val="22"/>
        </w:rPr>
        <w:t xml:space="preserve">) believe that the LGA has been an effective advocate for the interests of the local government sector.   </w:t>
      </w:r>
    </w:p>
    <w:p w14:paraId="744DEC6A" w14:textId="77777777" w:rsidR="00B9679E" w:rsidRPr="00242808" w:rsidRDefault="00B9679E" w:rsidP="00B9679E">
      <w:pPr>
        <w:jc w:val="both"/>
        <w:rPr>
          <w:rFonts w:cs="Arial"/>
          <w:sz w:val="22"/>
        </w:rPr>
      </w:pPr>
    </w:p>
    <w:p w14:paraId="744DEC6B" w14:textId="77777777" w:rsidR="00B9679E" w:rsidRDefault="0059744F" w:rsidP="00001EEF">
      <w:pPr>
        <w:pStyle w:val="ListParagraph"/>
        <w:numPr>
          <w:ilvl w:val="1"/>
          <w:numId w:val="8"/>
        </w:numPr>
        <w:spacing w:before="0" w:after="0" w:line="240" w:lineRule="auto"/>
        <w:rPr>
          <w:rFonts w:cs="Arial"/>
          <w:sz w:val="22"/>
        </w:rPr>
      </w:pPr>
      <w:r w:rsidRPr="00242808">
        <w:rPr>
          <w:rFonts w:cs="Arial"/>
          <w:sz w:val="22"/>
        </w:rPr>
        <w:t xml:space="preserve">Respondents from the </w:t>
      </w:r>
      <w:r w:rsidRPr="00242808">
        <w:rPr>
          <w:rFonts w:cs="Arial"/>
          <w:b/>
          <w:sz w:val="22"/>
        </w:rPr>
        <w:t>East Midlands</w:t>
      </w:r>
      <w:r w:rsidRPr="00242808">
        <w:rPr>
          <w:rFonts w:cs="Arial"/>
          <w:sz w:val="22"/>
        </w:rPr>
        <w:t xml:space="preserve"> and the </w:t>
      </w:r>
      <w:r w:rsidRPr="00242808">
        <w:rPr>
          <w:rFonts w:cs="Arial"/>
          <w:b/>
          <w:sz w:val="22"/>
        </w:rPr>
        <w:t>South West</w:t>
      </w:r>
      <w:r w:rsidRPr="00242808">
        <w:rPr>
          <w:rFonts w:cs="Arial"/>
          <w:sz w:val="22"/>
        </w:rPr>
        <w:t xml:space="preserve"> are significantly more likely to believe ‘a fair amount’ or ‘a great deal’ that the LGA has been an effective advocate for the interests of the local government sector (both at </w:t>
      </w:r>
      <w:r w:rsidRPr="00242808">
        <w:rPr>
          <w:rFonts w:cs="Arial"/>
          <w:b/>
          <w:sz w:val="22"/>
        </w:rPr>
        <w:t>90 per cent</w:t>
      </w:r>
      <w:r w:rsidRPr="00242808">
        <w:rPr>
          <w:rFonts w:cs="Arial"/>
          <w:sz w:val="22"/>
        </w:rPr>
        <w:t xml:space="preserve">).  </w:t>
      </w:r>
      <w:r w:rsidR="00B9679E" w:rsidRPr="00242808">
        <w:rPr>
          <w:rFonts w:cs="Arial"/>
          <w:sz w:val="22"/>
        </w:rPr>
        <w:t xml:space="preserve">Respondents in the </w:t>
      </w:r>
      <w:r w:rsidR="00401A97" w:rsidRPr="00242808">
        <w:rPr>
          <w:rFonts w:cs="Arial"/>
          <w:b/>
          <w:sz w:val="22"/>
        </w:rPr>
        <w:t xml:space="preserve">North </w:t>
      </w:r>
      <w:r w:rsidR="00B9679E" w:rsidRPr="00242808">
        <w:rPr>
          <w:rFonts w:cs="Arial"/>
          <w:b/>
          <w:sz w:val="22"/>
        </w:rPr>
        <w:t xml:space="preserve">East </w:t>
      </w:r>
      <w:r w:rsidR="00B9679E" w:rsidRPr="00242808">
        <w:rPr>
          <w:rFonts w:cs="Arial"/>
          <w:sz w:val="22"/>
        </w:rPr>
        <w:t>and</w:t>
      </w:r>
      <w:r w:rsidR="00B9679E" w:rsidRPr="00242808">
        <w:rPr>
          <w:rFonts w:cs="Arial"/>
          <w:b/>
          <w:sz w:val="22"/>
        </w:rPr>
        <w:t xml:space="preserve"> London</w:t>
      </w:r>
      <w:r w:rsidR="00B9679E" w:rsidRPr="00242808">
        <w:rPr>
          <w:rFonts w:cs="Arial"/>
          <w:sz w:val="22"/>
        </w:rPr>
        <w:t xml:space="preserve"> are least likely to believe the LGA has been an effective advocate for the interests of the local government sector ‘a great deal’</w:t>
      </w:r>
      <w:r w:rsidR="00EF757A" w:rsidRPr="00242808">
        <w:rPr>
          <w:rFonts w:cs="Arial"/>
          <w:sz w:val="22"/>
        </w:rPr>
        <w:t xml:space="preserve"> or a ‘fair amount’</w:t>
      </w:r>
      <w:r w:rsidR="00B9679E" w:rsidRPr="00242808">
        <w:rPr>
          <w:rFonts w:cs="Arial"/>
          <w:sz w:val="22"/>
        </w:rPr>
        <w:t xml:space="preserve"> (</w:t>
      </w:r>
      <w:r w:rsidR="00EF757A" w:rsidRPr="00242808">
        <w:rPr>
          <w:rFonts w:cs="Arial"/>
          <w:b/>
          <w:sz w:val="22"/>
        </w:rPr>
        <w:t xml:space="preserve">77 </w:t>
      </w:r>
      <w:r w:rsidR="00B9679E" w:rsidRPr="00242808">
        <w:rPr>
          <w:rFonts w:cs="Arial"/>
          <w:b/>
          <w:sz w:val="22"/>
        </w:rPr>
        <w:t xml:space="preserve">per cent in the </w:t>
      </w:r>
      <w:r w:rsidR="00242808" w:rsidRPr="00242808">
        <w:rPr>
          <w:rFonts w:cs="Arial"/>
          <w:b/>
          <w:sz w:val="22"/>
        </w:rPr>
        <w:t>Nor</w:t>
      </w:r>
      <w:r w:rsidR="00B9679E" w:rsidRPr="00242808">
        <w:rPr>
          <w:rFonts w:cs="Arial"/>
          <w:b/>
          <w:sz w:val="22"/>
        </w:rPr>
        <w:t xml:space="preserve">th East </w:t>
      </w:r>
      <w:r w:rsidR="00B9679E" w:rsidRPr="00242808">
        <w:rPr>
          <w:rFonts w:cs="Arial"/>
          <w:sz w:val="22"/>
        </w:rPr>
        <w:t>and</w:t>
      </w:r>
      <w:r w:rsidR="00B9679E" w:rsidRPr="00242808">
        <w:rPr>
          <w:rFonts w:cs="Arial"/>
          <w:b/>
          <w:sz w:val="22"/>
        </w:rPr>
        <w:t xml:space="preserve"> </w:t>
      </w:r>
      <w:r w:rsidR="00EF757A" w:rsidRPr="00242808">
        <w:rPr>
          <w:rFonts w:cs="Arial"/>
          <w:b/>
          <w:sz w:val="22"/>
        </w:rPr>
        <w:t xml:space="preserve">79 </w:t>
      </w:r>
      <w:r w:rsidR="00B9679E" w:rsidRPr="00242808">
        <w:rPr>
          <w:rFonts w:cs="Arial"/>
          <w:b/>
          <w:sz w:val="22"/>
        </w:rPr>
        <w:t>per cent in London</w:t>
      </w:r>
      <w:r w:rsidR="00B9679E" w:rsidRPr="00242808">
        <w:rPr>
          <w:rFonts w:cs="Arial"/>
          <w:sz w:val="22"/>
        </w:rPr>
        <w:t xml:space="preserve"> compared with a sample average of </w:t>
      </w:r>
      <w:r w:rsidR="00EF757A" w:rsidRPr="00242808">
        <w:rPr>
          <w:rFonts w:cs="Arial"/>
          <w:sz w:val="22"/>
        </w:rPr>
        <w:t xml:space="preserve">85 </w:t>
      </w:r>
      <w:r w:rsidR="00B9679E" w:rsidRPr="00242808">
        <w:rPr>
          <w:rFonts w:cs="Arial"/>
          <w:sz w:val="22"/>
        </w:rPr>
        <w:t xml:space="preserve">per cent).  </w:t>
      </w:r>
    </w:p>
    <w:p w14:paraId="3EE71068" w14:textId="77777777" w:rsidR="00001EEF" w:rsidRDefault="00001EEF" w:rsidP="00B9679E">
      <w:pPr>
        <w:jc w:val="both"/>
        <w:rPr>
          <w:rFonts w:cs="Arial"/>
          <w:b/>
          <w:sz w:val="22"/>
        </w:rPr>
      </w:pPr>
    </w:p>
    <w:p w14:paraId="744DEC6C" w14:textId="77777777" w:rsidR="00B9679E" w:rsidRPr="00072926" w:rsidRDefault="00B9679E" w:rsidP="00001EEF">
      <w:pPr>
        <w:pStyle w:val="ListParagraph"/>
        <w:numPr>
          <w:ilvl w:val="1"/>
          <w:numId w:val="8"/>
        </w:numPr>
        <w:spacing w:before="0" w:after="0" w:line="240" w:lineRule="auto"/>
        <w:rPr>
          <w:rFonts w:cs="Arial"/>
          <w:sz w:val="22"/>
        </w:rPr>
      </w:pPr>
      <w:r w:rsidRPr="00401A97">
        <w:rPr>
          <w:rFonts w:cs="Arial"/>
          <w:b/>
          <w:sz w:val="22"/>
        </w:rPr>
        <w:t>Council leaders</w:t>
      </w:r>
      <w:r w:rsidRPr="00401A97">
        <w:rPr>
          <w:rFonts w:cs="Arial"/>
          <w:sz w:val="22"/>
        </w:rPr>
        <w:t xml:space="preserve"> are particularly likely to be positive about the LGA as an effective advocate for local government (</w:t>
      </w:r>
      <w:r w:rsidR="00E572F7" w:rsidRPr="00401A97">
        <w:rPr>
          <w:rFonts w:cs="Arial"/>
          <w:b/>
          <w:sz w:val="22"/>
        </w:rPr>
        <w:t>9</w:t>
      </w:r>
      <w:r w:rsidR="00E572F7">
        <w:rPr>
          <w:rFonts w:cs="Arial"/>
          <w:b/>
          <w:sz w:val="22"/>
        </w:rPr>
        <w:t>1</w:t>
      </w:r>
      <w:r w:rsidR="00E572F7" w:rsidRPr="00401A97">
        <w:rPr>
          <w:rFonts w:cs="Arial"/>
          <w:b/>
          <w:sz w:val="22"/>
        </w:rPr>
        <w:t xml:space="preserve"> </w:t>
      </w:r>
      <w:r w:rsidRPr="00401A97">
        <w:rPr>
          <w:rFonts w:cs="Arial"/>
          <w:b/>
          <w:sz w:val="22"/>
        </w:rPr>
        <w:t>per cent</w:t>
      </w:r>
      <w:r w:rsidRPr="00401A97">
        <w:rPr>
          <w:rFonts w:cs="Arial"/>
          <w:sz w:val="22"/>
        </w:rPr>
        <w:t xml:space="preserve">).  </w:t>
      </w:r>
      <w:r w:rsidRPr="00401A97">
        <w:rPr>
          <w:b/>
          <w:sz w:val="22"/>
        </w:rPr>
        <w:t>Backbench councillors</w:t>
      </w:r>
      <w:r w:rsidRPr="00401A97">
        <w:rPr>
          <w:sz w:val="22"/>
        </w:rPr>
        <w:t xml:space="preserve"> are the least likely to be positive about the LGA as an effective advocate (</w:t>
      </w:r>
      <w:r w:rsidR="00E572F7">
        <w:rPr>
          <w:b/>
          <w:sz w:val="22"/>
        </w:rPr>
        <w:t>24</w:t>
      </w:r>
      <w:r w:rsidR="00E572F7" w:rsidRPr="00401A97">
        <w:rPr>
          <w:b/>
          <w:sz w:val="22"/>
        </w:rPr>
        <w:t xml:space="preserve"> </w:t>
      </w:r>
      <w:r w:rsidRPr="00401A97">
        <w:rPr>
          <w:b/>
          <w:sz w:val="22"/>
        </w:rPr>
        <w:t>per cent</w:t>
      </w:r>
      <w:r w:rsidRPr="00401A97">
        <w:rPr>
          <w:sz w:val="22"/>
        </w:rPr>
        <w:t xml:space="preserve"> specifying ‘a great deal’ compared with </w:t>
      </w:r>
      <w:r w:rsidR="00E572F7" w:rsidRPr="00401A97">
        <w:rPr>
          <w:sz w:val="22"/>
        </w:rPr>
        <w:t>2</w:t>
      </w:r>
      <w:r w:rsidR="00E572F7">
        <w:rPr>
          <w:sz w:val="22"/>
        </w:rPr>
        <w:t>8</w:t>
      </w:r>
      <w:r w:rsidR="00E572F7" w:rsidRPr="00401A97">
        <w:rPr>
          <w:sz w:val="22"/>
        </w:rPr>
        <w:t xml:space="preserve"> </w:t>
      </w:r>
      <w:r w:rsidRPr="00401A97">
        <w:rPr>
          <w:sz w:val="22"/>
        </w:rPr>
        <w:t>per cent of the sample overall)</w:t>
      </w:r>
      <w:r w:rsidR="00E572F7">
        <w:rPr>
          <w:sz w:val="22"/>
        </w:rPr>
        <w:t>, although this position has improved since 2014 (17 per cent)</w:t>
      </w:r>
      <w:r w:rsidRPr="00401A97">
        <w:rPr>
          <w:sz w:val="22"/>
        </w:rPr>
        <w:t>.</w:t>
      </w:r>
    </w:p>
    <w:p w14:paraId="744DEC6D" w14:textId="77777777" w:rsidR="00B07D0C" w:rsidRPr="009E3B5A" w:rsidRDefault="00B07D0C" w:rsidP="00481AB6"/>
    <w:p w14:paraId="744DEC6E" w14:textId="77777777" w:rsidR="0021265E" w:rsidRPr="001D1D04" w:rsidRDefault="0021265E" w:rsidP="0021265E">
      <w:pPr>
        <w:pStyle w:val="Caption"/>
        <w:keepNext/>
        <w:rPr>
          <w:sz w:val="22"/>
          <w:szCs w:val="22"/>
        </w:rPr>
      </w:pPr>
    </w:p>
    <w:p w14:paraId="744DEC6F" w14:textId="2F90672A" w:rsidR="001A61FF" w:rsidRDefault="001A61FF" w:rsidP="00001EEF">
      <w:pPr>
        <w:ind w:left="414" w:firstLine="720"/>
        <w:jc w:val="both"/>
        <w:rPr>
          <w:rFonts w:cs="Arial"/>
          <w:b/>
          <w:sz w:val="22"/>
          <w:szCs w:val="22"/>
        </w:rPr>
      </w:pPr>
      <w:r w:rsidRPr="00B034FF">
        <w:rPr>
          <w:rFonts w:cs="Arial"/>
          <w:b/>
          <w:sz w:val="22"/>
          <w:szCs w:val="22"/>
        </w:rPr>
        <w:t>Communications</w:t>
      </w:r>
    </w:p>
    <w:p w14:paraId="2DD641EF" w14:textId="77777777" w:rsidR="00001EEF" w:rsidRPr="00B034FF" w:rsidRDefault="00001EEF" w:rsidP="00001EEF">
      <w:pPr>
        <w:ind w:left="414" w:firstLine="720"/>
        <w:jc w:val="both"/>
        <w:rPr>
          <w:rFonts w:cs="Arial"/>
          <w:b/>
          <w:sz w:val="22"/>
          <w:szCs w:val="22"/>
        </w:rPr>
      </w:pPr>
    </w:p>
    <w:p w14:paraId="744DEC70" w14:textId="77777777" w:rsidR="001A61FF" w:rsidRPr="00A816C7" w:rsidRDefault="001A61FF" w:rsidP="00001EEF">
      <w:pPr>
        <w:pStyle w:val="ListParagraph"/>
        <w:numPr>
          <w:ilvl w:val="1"/>
          <w:numId w:val="8"/>
        </w:numPr>
        <w:spacing w:before="0" w:after="0" w:line="240" w:lineRule="auto"/>
        <w:rPr>
          <w:rFonts w:cs="Arial"/>
          <w:sz w:val="22"/>
        </w:rPr>
      </w:pPr>
      <w:r w:rsidRPr="00A816C7">
        <w:rPr>
          <w:rFonts w:cs="Arial"/>
          <w:sz w:val="22"/>
        </w:rPr>
        <w:t>The majority of respondents (</w:t>
      </w:r>
      <w:r w:rsidR="00D22159" w:rsidRPr="00A816C7">
        <w:rPr>
          <w:rFonts w:cs="Arial"/>
          <w:b/>
          <w:sz w:val="22"/>
        </w:rPr>
        <w:t xml:space="preserve">83 </w:t>
      </w:r>
      <w:r w:rsidRPr="00A816C7">
        <w:rPr>
          <w:rFonts w:cs="Arial"/>
          <w:b/>
          <w:sz w:val="22"/>
        </w:rPr>
        <w:t>per cent)</w:t>
      </w:r>
      <w:r w:rsidRPr="00A816C7">
        <w:rPr>
          <w:rFonts w:cs="Arial"/>
          <w:sz w:val="22"/>
        </w:rPr>
        <w:t xml:space="preserve"> believe we keep them well informed</w:t>
      </w:r>
      <w:r w:rsidR="00D22159" w:rsidRPr="00A816C7">
        <w:rPr>
          <w:rFonts w:cs="Arial"/>
          <w:sz w:val="22"/>
        </w:rPr>
        <w:t xml:space="preserve">, this </w:t>
      </w:r>
      <w:r w:rsidR="0059744F">
        <w:rPr>
          <w:rFonts w:cs="Arial"/>
          <w:sz w:val="22"/>
        </w:rPr>
        <w:t xml:space="preserve">has increased since </w:t>
      </w:r>
      <w:r w:rsidR="00A816C7" w:rsidRPr="00A816C7">
        <w:rPr>
          <w:rFonts w:cs="Arial"/>
          <w:sz w:val="22"/>
        </w:rPr>
        <w:t>2014 (79</w:t>
      </w:r>
      <w:r w:rsidR="00D22159" w:rsidRPr="00A816C7">
        <w:rPr>
          <w:rFonts w:cs="Arial"/>
          <w:sz w:val="22"/>
        </w:rPr>
        <w:t xml:space="preserve"> per cent)</w:t>
      </w:r>
      <w:r w:rsidR="00D22159" w:rsidRPr="00A816C7">
        <w:rPr>
          <w:rFonts w:cs="Arial"/>
          <w:i/>
          <w:sz w:val="22"/>
        </w:rPr>
        <w:t>,</w:t>
      </w:r>
      <w:r w:rsidR="00D22159" w:rsidRPr="00A816C7">
        <w:rPr>
          <w:rFonts w:cs="Arial"/>
          <w:sz w:val="22"/>
        </w:rPr>
        <w:t xml:space="preserve"> </w:t>
      </w:r>
      <w:r w:rsidR="00D22159" w:rsidRPr="00242808">
        <w:rPr>
          <w:rFonts w:cs="Arial"/>
          <w:sz w:val="22"/>
        </w:rPr>
        <w:t>29 per cent</w:t>
      </w:r>
      <w:r w:rsidR="00D22159" w:rsidRPr="00A816C7">
        <w:rPr>
          <w:rFonts w:cs="Arial"/>
          <w:sz w:val="22"/>
        </w:rPr>
        <w:t xml:space="preserve"> </w:t>
      </w:r>
      <w:r w:rsidRPr="00A816C7">
        <w:rPr>
          <w:rFonts w:cs="Arial"/>
          <w:sz w:val="22"/>
        </w:rPr>
        <w:t>believe they are ‘very well informed’</w:t>
      </w:r>
      <w:r w:rsidR="00D22159" w:rsidRPr="00A816C7">
        <w:rPr>
          <w:rFonts w:cs="Arial"/>
          <w:sz w:val="22"/>
        </w:rPr>
        <w:t>.</w:t>
      </w:r>
    </w:p>
    <w:p w14:paraId="744DEC71" w14:textId="77777777" w:rsidR="001A61FF" w:rsidRPr="00481AB6" w:rsidRDefault="001A61FF" w:rsidP="001A61FF">
      <w:pPr>
        <w:rPr>
          <w:rFonts w:cs="Arial"/>
          <w:color w:val="FF0000"/>
          <w:sz w:val="22"/>
          <w:szCs w:val="22"/>
        </w:rPr>
      </w:pPr>
    </w:p>
    <w:p w14:paraId="744DEC72" w14:textId="77777777" w:rsidR="001A61FF" w:rsidRPr="00B034FF" w:rsidRDefault="00B72CB0" w:rsidP="00001EEF">
      <w:pPr>
        <w:pStyle w:val="ListParagraph"/>
        <w:numPr>
          <w:ilvl w:val="1"/>
          <w:numId w:val="8"/>
        </w:numPr>
        <w:spacing w:before="0" w:after="0" w:line="240" w:lineRule="auto"/>
        <w:rPr>
          <w:rFonts w:cs="Arial"/>
          <w:sz w:val="22"/>
        </w:rPr>
      </w:pPr>
      <w:r>
        <w:rPr>
          <w:rFonts w:cs="Arial"/>
          <w:b/>
          <w:sz w:val="22"/>
        </w:rPr>
        <w:t>L</w:t>
      </w:r>
      <w:r w:rsidRPr="00992B92">
        <w:rPr>
          <w:rFonts w:cs="Arial"/>
          <w:b/>
          <w:sz w:val="22"/>
        </w:rPr>
        <w:t>eaders</w:t>
      </w:r>
      <w:r w:rsidRPr="00D22159">
        <w:rPr>
          <w:rFonts w:cs="Arial"/>
          <w:b/>
          <w:sz w:val="22"/>
        </w:rPr>
        <w:t xml:space="preserve"> </w:t>
      </w:r>
      <w:r>
        <w:rPr>
          <w:rFonts w:cs="Arial"/>
          <w:sz w:val="22"/>
        </w:rPr>
        <w:t>and</w:t>
      </w:r>
      <w:r w:rsidR="00D22159">
        <w:rPr>
          <w:rFonts w:cs="Arial"/>
          <w:sz w:val="22"/>
        </w:rPr>
        <w:t xml:space="preserve"> </w:t>
      </w:r>
      <w:r w:rsidR="00D22159">
        <w:rPr>
          <w:rFonts w:cs="Arial"/>
          <w:b/>
          <w:sz w:val="22"/>
        </w:rPr>
        <w:t>c</w:t>
      </w:r>
      <w:r w:rsidR="001A61FF" w:rsidRPr="00B034FF">
        <w:rPr>
          <w:rFonts w:cs="Arial"/>
          <w:b/>
          <w:sz w:val="22"/>
        </w:rPr>
        <w:t xml:space="preserve">hief executives </w:t>
      </w:r>
      <w:r w:rsidR="001A61FF" w:rsidRPr="00B034FF">
        <w:rPr>
          <w:rFonts w:cs="Arial"/>
          <w:sz w:val="22"/>
        </w:rPr>
        <w:t>are particularly likely to feel ‘very well informed’ (</w:t>
      </w:r>
      <w:r w:rsidR="001A61FF" w:rsidRPr="00B034FF">
        <w:rPr>
          <w:rFonts w:cs="Arial"/>
          <w:b/>
          <w:sz w:val="22"/>
        </w:rPr>
        <w:t>4</w:t>
      </w:r>
      <w:r w:rsidR="00D22159">
        <w:rPr>
          <w:rFonts w:cs="Arial"/>
          <w:b/>
          <w:sz w:val="22"/>
        </w:rPr>
        <w:t>3</w:t>
      </w:r>
      <w:r w:rsidR="001A61FF" w:rsidRPr="00B034FF">
        <w:rPr>
          <w:rFonts w:cs="Arial"/>
          <w:b/>
          <w:sz w:val="22"/>
        </w:rPr>
        <w:t xml:space="preserve"> per cent</w:t>
      </w:r>
      <w:r w:rsidR="001A61FF" w:rsidRPr="00B034FF">
        <w:rPr>
          <w:rFonts w:cs="Arial"/>
          <w:sz w:val="22"/>
        </w:rPr>
        <w:t xml:space="preserve"> and </w:t>
      </w:r>
      <w:r w:rsidR="00D22159">
        <w:rPr>
          <w:rFonts w:cs="Arial"/>
          <w:b/>
          <w:sz w:val="22"/>
        </w:rPr>
        <w:t>39</w:t>
      </w:r>
      <w:r w:rsidR="00D22159" w:rsidRPr="00B034FF">
        <w:rPr>
          <w:rFonts w:cs="Arial"/>
          <w:b/>
          <w:sz w:val="22"/>
        </w:rPr>
        <w:t xml:space="preserve"> </w:t>
      </w:r>
      <w:r w:rsidR="001A61FF" w:rsidRPr="00B034FF">
        <w:rPr>
          <w:rFonts w:cs="Arial"/>
          <w:b/>
          <w:sz w:val="22"/>
        </w:rPr>
        <w:t>per cent</w:t>
      </w:r>
      <w:r w:rsidR="001A61FF" w:rsidRPr="00B034FF">
        <w:rPr>
          <w:rFonts w:cs="Arial"/>
          <w:sz w:val="22"/>
        </w:rPr>
        <w:t xml:space="preserve"> respectiv</w:t>
      </w:r>
      <w:r w:rsidR="00853A09">
        <w:rPr>
          <w:rFonts w:cs="Arial"/>
          <w:sz w:val="22"/>
        </w:rPr>
        <w:t>ely).</w:t>
      </w:r>
    </w:p>
    <w:p w14:paraId="744DEC73" w14:textId="77777777" w:rsidR="001A61FF" w:rsidRPr="00242808" w:rsidRDefault="001A61FF" w:rsidP="001A61FF">
      <w:pPr>
        <w:rPr>
          <w:rFonts w:cs="Arial"/>
          <w:sz w:val="22"/>
          <w:szCs w:val="22"/>
        </w:rPr>
      </w:pPr>
    </w:p>
    <w:p w14:paraId="744DEC74" w14:textId="77777777" w:rsidR="001A61FF" w:rsidRPr="00242808" w:rsidRDefault="00B034FF" w:rsidP="00001EEF">
      <w:pPr>
        <w:pStyle w:val="ListParagraph"/>
        <w:numPr>
          <w:ilvl w:val="1"/>
          <w:numId w:val="8"/>
        </w:numPr>
        <w:spacing w:before="0" w:after="0" w:line="240" w:lineRule="auto"/>
        <w:rPr>
          <w:rFonts w:cs="Arial"/>
          <w:sz w:val="22"/>
        </w:rPr>
      </w:pPr>
      <w:r w:rsidRPr="00242808">
        <w:rPr>
          <w:rFonts w:cs="Arial"/>
          <w:sz w:val="22"/>
        </w:rPr>
        <w:t xml:space="preserve">By region, respondents in the </w:t>
      </w:r>
      <w:r w:rsidRPr="00242808">
        <w:rPr>
          <w:rFonts w:cs="Arial"/>
          <w:b/>
          <w:sz w:val="22"/>
        </w:rPr>
        <w:t>South West</w:t>
      </w:r>
      <w:r w:rsidRPr="00242808">
        <w:rPr>
          <w:rFonts w:cs="Arial"/>
          <w:sz w:val="22"/>
        </w:rPr>
        <w:t xml:space="preserve"> are most likely to feel ‘very and fairly well informed’ (</w:t>
      </w:r>
      <w:r w:rsidRPr="00242808">
        <w:rPr>
          <w:rFonts w:cs="Arial"/>
          <w:b/>
          <w:sz w:val="22"/>
        </w:rPr>
        <w:t>92 per cent</w:t>
      </w:r>
      <w:r w:rsidRPr="00242808">
        <w:rPr>
          <w:rFonts w:cs="Arial"/>
          <w:sz w:val="22"/>
        </w:rPr>
        <w:t>).</w:t>
      </w:r>
    </w:p>
    <w:p w14:paraId="744DEC75" w14:textId="77777777" w:rsidR="00F61070" w:rsidRPr="00242808" w:rsidRDefault="00F61070">
      <w:pPr>
        <w:rPr>
          <w:rFonts w:cs="Arial"/>
          <w:sz w:val="22"/>
          <w:szCs w:val="22"/>
        </w:rPr>
      </w:pPr>
    </w:p>
    <w:p w14:paraId="744DEC76" w14:textId="2966C9F4" w:rsidR="00F61070" w:rsidRPr="00F61070" w:rsidRDefault="00F61070" w:rsidP="00001EEF">
      <w:pPr>
        <w:pStyle w:val="ListParagraph"/>
        <w:numPr>
          <w:ilvl w:val="1"/>
          <w:numId w:val="8"/>
        </w:numPr>
        <w:spacing w:before="0" w:after="0" w:line="240" w:lineRule="auto"/>
        <w:rPr>
          <w:sz w:val="22"/>
        </w:rPr>
      </w:pPr>
      <w:r w:rsidRPr="00F61070">
        <w:rPr>
          <w:rFonts w:cs="Arial"/>
          <w:sz w:val="22"/>
        </w:rPr>
        <w:t xml:space="preserve">As with previous years, respondents are most likely to find out about the work of the LGA </w:t>
      </w:r>
      <w:r w:rsidR="0059744F">
        <w:rPr>
          <w:rFonts w:cs="Arial"/>
          <w:sz w:val="22"/>
        </w:rPr>
        <w:t>through</w:t>
      </w:r>
      <w:r w:rsidR="0040282E">
        <w:rPr>
          <w:rFonts w:cs="Arial"/>
          <w:sz w:val="22"/>
        </w:rPr>
        <w:t xml:space="preserve"> ‘F</w:t>
      </w:r>
      <w:r w:rsidRPr="00F61070">
        <w:rPr>
          <w:rFonts w:cs="Arial"/>
          <w:sz w:val="22"/>
        </w:rPr>
        <w:t>irst’ magazine (</w:t>
      </w:r>
      <w:r w:rsidRPr="00F61070">
        <w:rPr>
          <w:rFonts w:cs="Arial"/>
          <w:b/>
          <w:sz w:val="22"/>
        </w:rPr>
        <w:t>76 per cent</w:t>
      </w:r>
      <w:r w:rsidRPr="00F61070">
        <w:rPr>
          <w:rFonts w:cs="Arial"/>
          <w:sz w:val="22"/>
        </w:rPr>
        <w:t>)</w:t>
      </w:r>
      <w:r w:rsidR="0059744F">
        <w:rPr>
          <w:rFonts w:cs="Arial"/>
          <w:sz w:val="22"/>
        </w:rPr>
        <w:t>.  However</w:t>
      </w:r>
      <w:r w:rsidRPr="00F61070">
        <w:rPr>
          <w:rFonts w:cs="Arial"/>
          <w:sz w:val="22"/>
        </w:rPr>
        <w:t xml:space="preserve">, </w:t>
      </w:r>
      <w:r w:rsidRPr="00F61070">
        <w:rPr>
          <w:sz w:val="22"/>
        </w:rPr>
        <w:t xml:space="preserve">media work/press releases; LGA website; and events and conferences </w:t>
      </w:r>
      <w:r w:rsidR="0059744F">
        <w:rPr>
          <w:sz w:val="22"/>
        </w:rPr>
        <w:t xml:space="preserve">are also key channels, </w:t>
      </w:r>
      <w:r w:rsidRPr="00F61070">
        <w:rPr>
          <w:sz w:val="22"/>
        </w:rPr>
        <w:t>mentioned by at least 60</w:t>
      </w:r>
      <w:r w:rsidR="0059744F">
        <w:rPr>
          <w:sz w:val="22"/>
        </w:rPr>
        <w:t xml:space="preserve"> per cent</w:t>
      </w:r>
      <w:r w:rsidRPr="00F61070">
        <w:rPr>
          <w:sz w:val="22"/>
        </w:rPr>
        <w:t xml:space="preserve"> of respondents.</w:t>
      </w:r>
      <w:r w:rsidRPr="004A344B">
        <w:rPr>
          <w:sz w:val="22"/>
        </w:rPr>
        <w:t xml:space="preserve"> </w:t>
      </w:r>
    </w:p>
    <w:p w14:paraId="744DEC77" w14:textId="77777777" w:rsidR="00367EAF" w:rsidRDefault="00367EAF">
      <w:pPr>
        <w:rPr>
          <w:rFonts w:cs="Arial"/>
          <w:sz w:val="22"/>
          <w:szCs w:val="22"/>
        </w:rPr>
      </w:pPr>
    </w:p>
    <w:p w14:paraId="744DEC78" w14:textId="77777777" w:rsidR="00367EAF" w:rsidRPr="00E30F58" w:rsidRDefault="00367EAF">
      <w:pPr>
        <w:rPr>
          <w:rFonts w:cs="Arial"/>
          <w:sz w:val="22"/>
          <w:szCs w:val="22"/>
        </w:rPr>
      </w:pPr>
    </w:p>
    <w:p w14:paraId="2A3B7223" w14:textId="77777777" w:rsidR="0040282E" w:rsidRDefault="0040282E">
      <w:pPr>
        <w:rPr>
          <w:rFonts w:cs="Arial"/>
          <w:b/>
          <w:sz w:val="22"/>
          <w:szCs w:val="22"/>
        </w:rPr>
      </w:pPr>
      <w:r>
        <w:rPr>
          <w:rFonts w:cs="Arial"/>
          <w:b/>
          <w:sz w:val="22"/>
          <w:szCs w:val="22"/>
        </w:rPr>
        <w:br w:type="page"/>
      </w:r>
    </w:p>
    <w:p w14:paraId="744DEC79" w14:textId="675E5DA5" w:rsidR="00CF1D8B" w:rsidRDefault="0027170A">
      <w:pPr>
        <w:rPr>
          <w:rFonts w:cs="Arial"/>
          <w:b/>
          <w:sz w:val="22"/>
          <w:szCs w:val="22"/>
        </w:rPr>
      </w:pPr>
      <w:r w:rsidRPr="00CF1D8B">
        <w:rPr>
          <w:rFonts w:cs="Arial"/>
          <w:b/>
          <w:sz w:val="22"/>
          <w:szCs w:val="22"/>
        </w:rPr>
        <w:lastRenderedPageBreak/>
        <w:t>Detailed analysis of sector led improvement findings</w:t>
      </w:r>
    </w:p>
    <w:p w14:paraId="7BBFD4BE" w14:textId="77777777" w:rsidR="00001EEF" w:rsidRDefault="00001EEF">
      <w:pPr>
        <w:rPr>
          <w:rFonts w:cs="Arial"/>
          <w:b/>
          <w:sz w:val="22"/>
          <w:szCs w:val="22"/>
        </w:rPr>
      </w:pPr>
    </w:p>
    <w:p w14:paraId="744DEC7A" w14:textId="77777777" w:rsidR="00367EAF" w:rsidRPr="00001EEF" w:rsidRDefault="0027170A" w:rsidP="00001EEF">
      <w:pPr>
        <w:pStyle w:val="ListParagraph"/>
        <w:numPr>
          <w:ilvl w:val="0"/>
          <w:numId w:val="8"/>
        </w:numPr>
        <w:spacing w:before="0" w:after="0" w:line="240" w:lineRule="auto"/>
        <w:ind w:left="357"/>
        <w:rPr>
          <w:rFonts w:cs="Arial"/>
          <w:b/>
          <w:sz w:val="22"/>
        </w:rPr>
      </w:pPr>
      <w:r w:rsidRPr="00001EEF">
        <w:rPr>
          <w:sz w:val="22"/>
        </w:rPr>
        <w:t>The following gives a more detailed analysis of the sector-led improvement questions</w:t>
      </w:r>
      <w:r w:rsidR="00367EAF" w:rsidRPr="00001EEF">
        <w:rPr>
          <w:sz w:val="22"/>
        </w:rPr>
        <w:t>.</w:t>
      </w:r>
    </w:p>
    <w:p w14:paraId="744DEC7B" w14:textId="77777777" w:rsidR="008E6760" w:rsidRDefault="008E6760">
      <w:pPr>
        <w:rPr>
          <w:sz w:val="22"/>
          <w:szCs w:val="22"/>
        </w:rPr>
      </w:pPr>
    </w:p>
    <w:tbl>
      <w:tblPr>
        <w:tblW w:w="9073" w:type="dxa"/>
        <w:tblInd w:w="-431" w:type="dxa"/>
        <w:tblBorders>
          <w:top w:val="single" w:sz="4" w:space="0" w:color="91278F"/>
          <w:left w:val="single" w:sz="4" w:space="0" w:color="91278F"/>
          <w:bottom w:val="single" w:sz="4" w:space="0" w:color="91278F"/>
          <w:right w:val="single" w:sz="4" w:space="0" w:color="91278F"/>
          <w:insideH w:val="single" w:sz="4" w:space="0" w:color="91278F"/>
          <w:insideV w:val="single" w:sz="4" w:space="0" w:color="91278F"/>
        </w:tblBorders>
        <w:tblLook w:val="04A0" w:firstRow="1" w:lastRow="0" w:firstColumn="1" w:lastColumn="0" w:noHBand="0" w:noVBand="1"/>
      </w:tblPr>
      <w:tblGrid>
        <w:gridCol w:w="4776"/>
        <w:gridCol w:w="1074"/>
        <w:gridCol w:w="1074"/>
        <w:gridCol w:w="1074"/>
        <w:gridCol w:w="1075"/>
      </w:tblGrid>
      <w:tr w:rsidR="00242808" w:rsidRPr="00C03731" w14:paraId="744DEC82" w14:textId="77777777" w:rsidTr="00242808">
        <w:trPr>
          <w:trHeight w:val="1091"/>
        </w:trPr>
        <w:tc>
          <w:tcPr>
            <w:tcW w:w="4776" w:type="dxa"/>
            <w:tcBorders>
              <w:top w:val="single" w:sz="18" w:space="0" w:color="91278F"/>
              <w:left w:val="single" w:sz="18" w:space="0" w:color="91278F"/>
              <w:bottom w:val="single" w:sz="18" w:space="0" w:color="91278F"/>
            </w:tcBorders>
            <w:shd w:val="clear" w:color="auto" w:fill="91278F"/>
            <w:vAlign w:val="bottom"/>
          </w:tcPr>
          <w:p w14:paraId="744DEC7D" w14:textId="77777777" w:rsidR="00242808" w:rsidRPr="00C03731" w:rsidRDefault="00242808" w:rsidP="0027170A">
            <w:pPr>
              <w:rPr>
                <w:rFonts w:cs="Arial"/>
                <w:b/>
                <w:color w:val="FFFFFF" w:themeColor="background1"/>
                <w:sz w:val="20"/>
              </w:rPr>
            </w:pPr>
            <w:r w:rsidRPr="00C03731">
              <w:rPr>
                <w:rFonts w:cs="Arial"/>
                <w:b/>
                <w:color w:val="FFFFFF" w:themeColor="background1"/>
                <w:sz w:val="20"/>
              </w:rPr>
              <w:t>Question</w:t>
            </w:r>
          </w:p>
        </w:tc>
        <w:tc>
          <w:tcPr>
            <w:tcW w:w="1074" w:type="dxa"/>
            <w:tcBorders>
              <w:top w:val="single" w:sz="18" w:space="0" w:color="91278F"/>
              <w:bottom w:val="single" w:sz="18" w:space="0" w:color="91278F"/>
            </w:tcBorders>
            <w:shd w:val="clear" w:color="auto" w:fill="91278F"/>
            <w:vAlign w:val="bottom"/>
          </w:tcPr>
          <w:p w14:paraId="744DEC7E" w14:textId="77777777" w:rsidR="00242808" w:rsidRPr="00C03731" w:rsidRDefault="00242808" w:rsidP="0027170A">
            <w:pPr>
              <w:jc w:val="right"/>
              <w:rPr>
                <w:rFonts w:cs="Arial"/>
                <w:b/>
                <w:color w:val="FFFFFF" w:themeColor="background1"/>
                <w:sz w:val="20"/>
              </w:rPr>
            </w:pPr>
            <w:r w:rsidRPr="00C03731">
              <w:rPr>
                <w:rFonts w:cs="Arial"/>
                <w:b/>
                <w:color w:val="FFFFFF" w:themeColor="background1"/>
                <w:sz w:val="20"/>
              </w:rPr>
              <w:t>2012</w:t>
            </w:r>
          </w:p>
        </w:tc>
        <w:tc>
          <w:tcPr>
            <w:tcW w:w="1074" w:type="dxa"/>
            <w:tcBorders>
              <w:top w:val="single" w:sz="18" w:space="0" w:color="91278F"/>
              <w:bottom w:val="single" w:sz="18" w:space="0" w:color="91278F"/>
            </w:tcBorders>
            <w:shd w:val="clear" w:color="auto" w:fill="91278F"/>
            <w:vAlign w:val="bottom"/>
          </w:tcPr>
          <w:p w14:paraId="744DEC7F" w14:textId="77777777" w:rsidR="00242808" w:rsidRPr="00C03731" w:rsidRDefault="00242808" w:rsidP="0027170A">
            <w:pPr>
              <w:jc w:val="right"/>
              <w:rPr>
                <w:rFonts w:cs="Arial"/>
                <w:b/>
                <w:color w:val="FFFFFF" w:themeColor="background1"/>
                <w:sz w:val="20"/>
              </w:rPr>
            </w:pPr>
            <w:r w:rsidRPr="00C03731">
              <w:rPr>
                <w:rFonts w:cs="Arial"/>
                <w:b/>
                <w:color w:val="FFFFFF" w:themeColor="background1"/>
                <w:sz w:val="20"/>
              </w:rPr>
              <w:t>2013</w:t>
            </w:r>
          </w:p>
        </w:tc>
        <w:tc>
          <w:tcPr>
            <w:tcW w:w="1074" w:type="dxa"/>
            <w:tcBorders>
              <w:top w:val="single" w:sz="18" w:space="0" w:color="91278F"/>
              <w:bottom w:val="single" w:sz="18" w:space="0" w:color="91278F"/>
            </w:tcBorders>
            <w:shd w:val="clear" w:color="auto" w:fill="91278F"/>
            <w:vAlign w:val="bottom"/>
          </w:tcPr>
          <w:p w14:paraId="744DEC80" w14:textId="77777777" w:rsidR="00242808" w:rsidRPr="00C03731" w:rsidRDefault="00242808" w:rsidP="0027170A">
            <w:pPr>
              <w:jc w:val="right"/>
              <w:rPr>
                <w:rFonts w:cs="Arial"/>
                <w:b/>
                <w:color w:val="FFFFFF" w:themeColor="background1"/>
                <w:sz w:val="20"/>
              </w:rPr>
            </w:pPr>
            <w:r w:rsidRPr="00C03731">
              <w:rPr>
                <w:rFonts w:cs="Arial"/>
                <w:b/>
                <w:color w:val="FFFFFF" w:themeColor="background1"/>
                <w:sz w:val="20"/>
              </w:rPr>
              <w:t>2014</w:t>
            </w:r>
          </w:p>
        </w:tc>
        <w:tc>
          <w:tcPr>
            <w:tcW w:w="1075" w:type="dxa"/>
            <w:tcBorders>
              <w:top w:val="single" w:sz="18" w:space="0" w:color="91278F"/>
              <w:bottom w:val="single" w:sz="18" w:space="0" w:color="91278F"/>
              <w:right w:val="single" w:sz="18" w:space="0" w:color="91278F"/>
            </w:tcBorders>
            <w:shd w:val="clear" w:color="auto" w:fill="91278F"/>
            <w:vAlign w:val="bottom"/>
          </w:tcPr>
          <w:p w14:paraId="744DEC81" w14:textId="77777777" w:rsidR="00242808" w:rsidRPr="00C03731" w:rsidRDefault="00242808" w:rsidP="0027170A">
            <w:pPr>
              <w:jc w:val="right"/>
              <w:rPr>
                <w:rFonts w:cs="Arial"/>
                <w:b/>
                <w:color w:val="FFFFFF" w:themeColor="background1"/>
                <w:sz w:val="20"/>
              </w:rPr>
            </w:pPr>
            <w:r w:rsidRPr="00C03731">
              <w:rPr>
                <w:rFonts w:cs="Arial"/>
                <w:b/>
                <w:color w:val="FFFFFF" w:themeColor="background1"/>
                <w:sz w:val="20"/>
              </w:rPr>
              <w:t>2015</w:t>
            </w:r>
          </w:p>
        </w:tc>
      </w:tr>
      <w:tr w:rsidR="001A5B58" w:rsidRPr="00C03731" w14:paraId="744DEC84" w14:textId="77777777" w:rsidTr="00242808">
        <w:trPr>
          <w:trHeight w:val="381"/>
        </w:trPr>
        <w:tc>
          <w:tcPr>
            <w:tcW w:w="9073" w:type="dxa"/>
            <w:gridSpan w:val="5"/>
            <w:tcBorders>
              <w:top w:val="single" w:sz="18" w:space="0" w:color="91278F"/>
              <w:left w:val="single" w:sz="18" w:space="0" w:color="91278F"/>
              <w:right w:val="single" w:sz="18" w:space="0" w:color="91278F"/>
            </w:tcBorders>
            <w:shd w:val="clear" w:color="auto" w:fill="CEA8D2"/>
            <w:vAlign w:val="center"/>
          </w:tcPr>
          <w:p w14:paraId="744DEC83" w14:textId="77777777" w:rsidR="001A5B58" w:rsidRPr="00C03731" w:rsidRDefault="001A5B58" w:rsidP="00120853">
            <w:pPr>
              <w:rPr>
                <w:rFonts w:cs="Arial"/>
                <w:b/>
                <w:color w:val="FFFFFF" w:themeColor="background1"/>
                <w:sz w:val="20"/>
              </w:rPr>
            </w:pPr>
            <w:r w:rsidRPr="001A5B58">
              <w:rPr>
                <w:color w:val="000000" w:themeColor="text1"/>
                <w:sz w:val="20"/>
              </w:rPr>
              <w:t>To what extent do you agree or disagree with the following statements about the LGA?</w:t>
            </w:r>
          </w:p>
        </w:tc>
      </w:tr>
      <w:tr w:rsidR="00242808" w:rsidRPr="00C03731" w14:paraId="744DEC8A" w14:textId="77777777" w:rsidTr="00242808">
        <w:trPr>
          <w:trHeight w:val="261"/>
        </w:trPr>
        <w:tc>
          <w:tcPr>
            <w:tcW w:w="4776" w:type="dxa"/>
            <w:tcBorders>
              <w:left w:val="single" w:sz="18" w:space="0" w:color="91278F"/>
              <w:bottom w:val="single" w:sz="18" w:space="0" w:color="91278F"/>
            </w:tcBorders>
            <w:shd w:val="clear" w:color="auto" w:fill="auto"/>
            <w:vAlign w:val="center"/>
          </w:tcPr>
          <w:p w14:paraId="744DEC85" w14:textId="77777777" w:rsidR="00242808" w:rsidRPr="0027170A" w:rsidRDefault="00242808" w:rsidP="00120853">
            <w:pPr>
              <w:rPr>
                <w:rFonts w:cs="Arial"/>
                <w:sz w:val="20"/>
              </w:rPr>
            </w:pPr>
            <w:r w:rsidRPr="001A5B58">
              <w:rPr>
                <w:color w:val="000000" w:themeColor="text1"/>
                <w:sz w:val="20"/>
              </w:rPr>
              <w:t>The LGA helps to set and drive improvement in the local government sector.</w:t>
            </w:r>
          </w:p>
        </w:tc>
        <w:tc>
          <w:tcPr>
            <w:tcW w:w="1074" w:type="dxa"/>
            <w:tcBorders>
              <w:bottom w:val="single" w:sz="18" w:space="0" w:color="91278F"/>
            </w:tcBorders>
            <w:shd w:val="clear" w:color="auto" w:fill="auto"/>
            <w:vAlign w:val="bottom"/>
          </w:tcPr>
          <w:p w14:paraId="744DEC86" w14:textId="77777777" w:rsidR="00242808" w:rsidRPr="00C03731" w:rsidRDefault="00242808" w:rsidP="0027170A">
            <w:pPr>
              <w:jc w:val="right"/>
              <w:rPr>
                <w:rFonts w:cs="Arial"/>
                <w:sz w:val="20"/>
              </w:rPr>
            </w:pPr>
            <w:r>
              <w:rPr>
                <w:rFonts w:cs="Arial"/>
                <w:sz w:val="20"/>
              </w:rPr>
              <w:t>71</w:t>
            </w:r>
            <w:r w:rsidRPr="00C03731">
              <w:rPr>
                <w:rFonts w:cs="Arial"/>
                <w:sz w:val="20"/>
              </w:rPr>
              <w:t>%</w:t>
            </w:r>
          </w:p>
        </w:tc>
        <w:tc>
          <w:tcPr>
            <w:tcW w:w="1074" w:type="dxa"/>
            <w:tcBorders>
              <w:bottom w:val="single" w:sz="18" w:space="0" w:color="91278F"/>
            </w:tcBorders>
            <w:shd w:val="clear" w:color="auto" w:fill="auto"/>
            <w:vAlign w:val="bottom"/>
          </w:tcPr>
          <w:p w14:paraId="744DEC87" w14:textId="77777777" w:rsidR="00242808" w:rsidRPr="00C03731" w:rsidRDefault="00242808" w:rsidP="0027170A">
            <w:pPr>
              <w:jc w:val="right"/>
              <w:rPr>
                <w:rFonts w:cs="Arial"/>
                <w:sz w:val="20"/>
              </w:rPr>
            </w:pPr>
            <w:r>
              <w:rPr>
                <w:rFonts w:cs="Arial"/>
                <w:sz w:val="20"/>
              </w:rPr>
              <w:t>76</w:t>
            </w:r>
            <w:r w:rsidRPr="00C03731">
              <w:rPr>
                <w:rFonts w:cs="Arial"/>
                <w:sz w:val="20"/>
              </w:rPr>
              <w:t>%</w:t>
            </w:r>
          </w:p>
        </w:tc>
        <w:tc>
          <w:tcPr>
            <w:tcW w:w="1074" w:type="dxa"/>
            <w:tcBorders>
              <w:bottom w:val="single" w:sz="18" w:space="0" w:color="91278F"/>
            </w:tcBorders>
            <w:vAlign w:val="bottom"/>
          </w:tcPr>
          <w:p w14:paraId="744DEC88" w14:textId="77777777" w:rsidR="00242808" w:rsidRPr="00C03731" w:rsidRDefault="00242808" w:rsidP="0027170A">
            <w:pPr>
              <w:jc w:val="right"/>
              <w:rPr>
                <w:rFonts w:cs="Arial"/>
                <w:sz w:val="20"/>
              </w:rPr>
            </w:pPr>
            <w:r>
              <w:rPr>
                <w:rFonts w:cs="Arial"/>
                <w:sz w:val="20"/>
              </w:rPr>
              <w:t>77</w:t>
            </w:r>
            <w:r w:rsidRPr="00C03731">
              <w:rPr>
                <w:rFonts w:cs="Arial"/>
                <w:sz w:val="20"/>
              </w:rPr>
              <w:t>%</w:t>
            </w:r>
          </w:p>
        </w:tc>
        <w:tc>
          <w:tcPr>
            <w:tcW w:w="1075" w:type="dxa"/>
            <w:tcBorders>
              <w:bottom w:val="single" w:sz="18" w:space="0" w:color="91278F"/>
              <w:right w:val="single" w:sz="18" w:space="0" w:color="91278F"/>
            </w:tcBorders>
            <w:vAlign w:val="bottom"/>
          </w:tcPr>
          <w:p w14:paraId="744DEC89" w14:textId="77777777" w:rsidR="00242808" w:rsidRPr="00C03731" w:rsidRDefault="00242808" w:rsidP="0027170A">
            <w:pPr>
              <w:jc w:val="right"/>
              <w:rPr>
                <w:rFonts w:cs="Arial"/>
                <w:b/>
                <w:sz w:val="20"/>
              </w:rPr>
            </w:pPr>
            <w:r>
              <w:rPr>
                <w:rFonts w:cs="Arial"/>
                <w:b/>
                <w:sz w:val="20"/>
              </w:rPr>
              <w:t>79</w:t>
            </w:r>
            <w:r w:rsidRPr="00C03731">
              <w:rPr>
                <w:rFonts w:cs="Arial"/>
                <w:b/>
                <w:sz w:val="20"/>
              </w:rPr>
              <w:t>%</w:t>
            </w:r>
          </w:p>
        </w:tc>
      </w:tr>
      <w:tr w:rsidR="001A5B58" w:rsidRPr="00C03731" w14:paraId="744DEC8C" w14:textId="77777777" w:rsidTr="00242808">
        <w:trPr>
          <w:trHeight w:val="381"/>
        </w:trPr>
        <w:tc>
          <w:tcPr>
            <w:tcW w:w="9073" w:type="dxa"/>
            <w:gridSpan w:val="5"/>
            <w:tcBorders>
              <w:top w:val="single" w:sz="18" w:space="0" w:color="91278F"/>
              <w:left w:val="single" w:sz="18" w:space="0" w:color="91278F"/>
              <w:right w:val="single" w:sz="18" w:space="0" w:color="91278F"/>
            </w:tcBorders>
            <w:shd w:val="clear" w:color="auto" w:fill="CEA8D2"/>
            <w:vAlign w:val="center"/>
          </w:tcPr>
          <w:p w14:paraId="744DEC8B" w14:textId="77777777" w:rsidR="001A5B58" w:rsidRPr="001A5B58" w:rsidRDefault="001A5B58" w:rsidP="00120853">
            <w:pPr>
              <w:rPr>
                <w:rFonts w:cs="Arial"/>
                <w:sz w:val="20"/>
              </w:rPr>
            </w:pPr>
            <w:r w:rsidRPr="001A5B58">
              <w:rPr>
                <w:rFonts w:cs="Arial"/>
                <w:sz w:val="20"/>
              </w:rPr>
              <w:t>I am going to read out a list of activities conducted by the LGA. For each, I would like you to tell me whether they are useful or not to your council o</w:t>
            </w:r>
            <w:r>
              <w:rPr>
                <w:rFonts w:cs="Arial"/>
                <w:sz w:val="20"/>
              </w:rPr>
              <w:t>r local government as a whole.</w:t>
            </w:r>
            <w:r w:rsidR="00E30F58">
              <w:rPr>
                <w:rStyle w:val="FootnoteReference"/>
                <w:rFonts w:cs="Arial"/>
                <w:sz w:val="20"/>
              </w:rPr>
              <w:footnoteReference w:id="1"/>
            </w:r>
          </w:p>
        </w:tc>
      </w:tr>
      <w:tr w:rsidR="00242808" w:rsidRPr="00C03731" w14:paraId="744DEC92" w14:textId="77777777" w:rsidTr="00242808">
        <w:trPr>
          <w:trHeight w:val="554"/>
        </w:trPr>
        <w:tc>
          <w:tcPr>
            <w:tcW w:w="4776" w:type="dxa"/>
            <w:tcBorders>
              <w:left w:val="single" w:sz="18" w:space="0" w:color="91278F"/>
            </w:tcBorders>
            <w:shd w:val="clear" w:color="auto" w:fill="auto"/>
            <w:vAlign w:val="center"/>
          </w:tcPr>
          <w:p w14:paraId="744DEC8D" w14:textId="77777777" w:rsidR="00242808" w:rsidRPr="00C03731" w:rsidRDefault="00242808" w:rsidP="00120853">
            <w:pPr>
              <w:rPr>
                <w:rFonts w:cs="Arial"/>
                <w:sz w:val="20"/>
              </w:rPr>
            </w:pPr>
            <w:r w:rsidRPr="001A5B58">
              <w:rPr>
                <w:rFonts w:cs="Arial"/>
                <w:sz w:val="20"/>
              </w:rPr>
              <w:t>Providing support and challenge for councils to improve</w:t>
            </w:r>
            <w:r>
              <w:rPr>
                <w:rStyle w:val="FootnoteReference"/>
                <w:rFonts w:cs="Arial"/>
                <w:sz w:val="20"/>
              </w:rPr>
              <w:footnoteReference w:id="2"/>
            </w:r>
          </w:p>
        </w:tc>
        <w:tc>
          <w:tcPr>
            <w:tcW w:w="1074" w:type="dxa"/>
            <w:shd w:val="clear" w:color="auto" w:fill="auto"/>
            <w:vAlign w:val="bottom"/>
          </w:tcPr>
          <w:p w14:paraId="744DEC8E" w14:textId="77777777" w:rsidR="00242808" w:rsidRPr="00C03731" w:rsidRDefault="00242808" w:rsidP="0027170A">
            <w:pPr>
              <w:jc w:val="right"/>
              <w:rPr>
                <w:rFonts w:cs="Arial"/>
                <w:sz w:val="20"/>
              </w:rPr>
            </w:pPr>
            <w:r>
              <w:rPr>
                <w:rFonts w:cs="Arial"/>
                <w:sz w:val="20"/>
              </w:rPr>
              <w:t>89</w:t>
            </w:r>
            <w:r w:rsidRPr="00C03731">
              <w:rPr>
                <w:rFonts w:cs="Arial"/>
                <w:sz w:val="20"/>
              </w:rPr>
              <w:t>%</w:t>
            </w:r>
          </w:p>
        </w:tc>
        <w:tc>
          <w:tcPr>
            <w:tcW w:w="1074" w:type="dxa"/>
            <w:shd w:val="clear" w:color="auto" w:fill="auto"/>
            <w:vAlign w:val="bottom"/>
          </w:tcPr>
          <w:p w14:paraId="744DEC8F" w14:textId="77777777" w:rsidR="00242808" w:rsidRPr="00C03731" w:rsidRDefault="00242808" w:rsidP="0027170A">
            <w:pPr>
              <w:jc w:val="right"/>
              <w:rPr>
                <w:rFonts w:cs="Arial"/>
                <w:sz w:val="20"/>
              </w:rPr>
            </w:pPr>
            <w:r>
              <w:rPr>
                <w:rFonts w:cs="Arial"/>
                <w:sz w:val="20"/>
              </w:rPr>
              <w:t>91</w:t>
            </w:r>
            <w:r w:rsidRPr="00C03731">
              <w:rPr>
                <w:rFonts w:cs="Arial"/>
                <w:sz w:val="20"/>
              </w:rPr>
              <w:t>%</w:t>
            </w:r>
          </w:p>
        </w:tc>
        <w:tc>
          <w:tcPr>
            <w:tcW w:w="1074" w:type="dxa"/>
            <w:vAlign w:val="bottom"/>
          </w:tcPr>
          <w:p w14:paraId="744DEC90" w14:textId="77777777" w:rsidR="00242808" w:rsidRPr="00C03731" w:rsidRDefault="00242808" w:rsidP="0027170A">
            <w:pPr>
              <w:jc w:val="right"/>
              <w:rPr>
                <w:rFonts w:cs="Arial"/>
                <w:sz w:val="20"/>
              </w:rPr>
            </w:pPr>
            <w:r>
              <w:rPr>
                <w:rFonts w:cs="Arial"/>
                <w:sz w:val="20"/>
              </w:rPr>
              <w:t>90</w:t>
            </w:r>
            <w:r w:rsidRPr="00C03731">
              <w:rPr>
                <w:rFonts w:cs="Arial"/>
                <w:sz w:val="20"/>
              </w:rPr>
              <w:t>%</w:t>
            </w:r>
          </w:p>
        </w:tc>
        <w:tc>
          <w:tcPr>
            <w:tcW w:w="1075" w:type="dxa"/>
            <w:tcBorders>
              <w:right w:val="single" w:sz="18" w:space="0" w:color="91278F"/>
            </w:tcBorders>
            <w:vAlign w:val="bottom"/>
          </w:tcPr>
          <w:p w14:paraId="744DEC91" w14:textId="77777777" w:rsidR="00242808" w:rsidRPr="00C03731" w:rsidRDefault="00242808" w:rsidP="0027170A">
            <w:pPr>
              <w:jc w:val="right"/>
              <w:rPr>
                <w:rFonts w:cs="Arial"/>
                <w:b/>
                <w:sz w:val="20"/>
              </w:rPr>
            </w:pPr>
            <w:r>
              <w:rPr>
                <w:rFonts w:cs="Arial"/>
                <w:b/>
                <w:sz w:val="20"/>
              </w:rPr>
              <w:t>84</w:t>
            </w:r>
            <w:r w:rsidRPr="00C03731">
              <w:rPr>
                <w:rFonts w:cs="Arial"/>
                <w:b/>
                <w:sz w:val="20"/>
              </w:rPr>
              <w:t>%</w:t>
            </w:r>
          </w:p>
        </w:tc>
      </w:tr>
      <w:tr w:rsidR="00242808" w:rsidRPr="00C03731" w14:paraId="744DEC98" w14:textId="77777777" w:rsidTr="00242808">
        <w:trPr>
          <w:trHeight w:val="537"/>
        </w:trPr>
        <w:tc>
          <w:tcPr>
            <w:tcW w:w="4776" w:type="dxa"/>
            <w:tcBorders>
              <w:left w:val="single" w:sz="18" w:space="0" w:color="91278F"/>
            </w:tcBorders>
            <w:shd w:val="clear" w:color="auto" w:fill="auto"/>
            <w:vAlign w:val="center"/>
          </w:tcPr>
          <w:p w14:paraId="744DEC93" w14:textId="77777777" w:rsidR="00242808" w:rsidRPr="001A5B58" w:rsidRDefault="00242808" w:rsidP="00120853">
            <w:pPr>
              <w:keepNext/>
              <w:keepLines/>
              <w:rPr>
                <w:color w:val="000000" w:themeColor="text1"/>
                <w:sz w:val="20"/>
              </w:rPr>
            </w:pPr>
            <w:r w:rsidRPr="001A5B58">
              <w:rPr>
                <w:color w:val="000000" w:themeColor="text1"/>
                <w:sz w:val="20"/>
              </w:rPr>
              <w:t>Providing support for sector led improvement (for example, peer challenges and mentoring, support for leadership, workfor</w:t>
            </w:r>
            <w:r>
              <w:rPr>
                <w:color w:val="000000" w:themeColor="text1"/>
                <w:sz w:val="20"/>
              </w:rPr>
              <w:t>ce management and productivity)</w:t>
            </w:r>
            <w:r>
              <w:rPr>
                <w:rStyle w:val="FootnoteReference"/>
                <w:color w:val="000000" w:themeColor="text1"/>
                <w:sz w:val="20"/>
              </w:rPr>
              <w:footnoteReference w:id="3"/>
            </w:r>
          </w:p>
        </w:tc>
        <w:tc>
          <w:tcPr>
            <w:tcW w:w="1074" w:type="dxa"/>
            <w:shd w:val="clear" w:color="auto" w:fill="auto"/>
            <w:vAlign w:val="bottom"/>
          </w:tcPr>
          <w:p w14:paraId="744DEC94" w14:textId="77777777" w:rsidR="00242808" w:rsidRPr="00C03731" w:rsidRDefault="00242808" w:rsidP="0027170A">
            <w:pPr>
              <w:jc w:val="right"/>
              <w:rPr>
                <w:rFonts w:cs="Arial"/>
                <w:sz w:val="20"/>
              </w:rPr>
            </w:pPr>
            <w:r>
              <w:rPr>
                <w:rFonts w:cs="Arial"/>
                <w:sz w:val="20"/>
              </w:rPr>
              <w:t>8</w:t>
            </w:r>
            <w:r w:rsidRPr="00C03731">
              <w:rPr>
                <w:rFonts w:cs="Arial"/>
                <w:sz w:val="20"/>
              </w:rPr>
              <w:t>3%</w:t>
            </w:r>
          </w:p>
        </w:tc>
        <w:tc>
          <w:tcPr>
            <w:tcW w:w="1074" w:type="dxa"/>
            <w:shd w:val="clear" w:color="auto" w:fill="auto"/>
            <w:vAlign w:val="bottom"/>
          </w:tcPr>
          <w:p w14:paraId="744DEC95" w14:textId="77777777" w:rsidR="00242808" w:rsidRPr="00C03731" w:rsidRDefault="00242808" w:rsidP="0027170A">
            <w:pPr>
              <w:jc w:val="right"/>
              <w:rPr>
                <w:rFonts w:cs="Arial"/>
                <w:sz w:val="20"/>
              </w:rPr>
            </w:pPr>
            <w:r>
              <w:rPr>
                <w:rFonts w:cs="Arial"/>
                <w:sz w:val="20"/>
              </w:rPr>
              <w:t>86</w:t>
            </w:r>
            <w:r w:rsidRPr="00C03731">
              <w:rPr>
                <w:rFonts w:cs="Arial"/>
                <w:sz w:val="20"/>
              </w:rPr>
              <w:t>%</w:t>
            </w:r>
          </w:p>
        </w:tc>
        <w:tc>
          <w:tcPr>
            <w:tcW w:w="1074" w:type="dxa"/>
            <w:vAlign w:val="bottom"/>
          </w:tcPr>
          <w:p w14:paraId="744DEC96" w14:textId="77777777" w:rsidR="00242808" w:rsidRPr="00C03731" w:rsidRDefault="00242808" w:rsidP="0027170A">
            <w:pPr>
              <w:jc w:val="right"/>
              <w:rPr>
                <w:rFonts w:cs="Arial"/>
                <w:sz w:val="20"/>
              </w:rPr>
            </w:pPr>
            <w:r>
              <w:rPr>
                <w:rFonts w:cs="Arial"/>
                <w:sz w:val="20"/>
              </w:rPr>
              <w:t>82</w:t>
            </w:r>
            <w:r w:rsidRPr="00C03731">
              <w:rPr>
                <w:rFonts w:cs="Arial"/>
                <w:sz w:val="20"/>
              </w:rPr>
              <w:t>%</w:t>
            </w:r>
          </w:p>
        </w:tc>
        <w:tc>
          <w:tcPr>
            <w:tcW w:w="1075" w:type="dxa"/>
            <w:tcBorders>
              <w:right w:val="single" w:sz="18" w:space="0" w:color="91278F"/>
            </w:tcBorders>
            <w:vAlign w:val="bottom"/>
          </w:tcPr>
          <w:p w14:paraId="744DEC97" w14:textId="77777777" w:rsidR="00242808" w:rsidRPr="00C03731" w:rsidRDefault="00242808" w:rsidP="0027170A">
            <w:pPr>
              <w:jc w:val="right"/>
              <w:rPr>
                <w:rFonts w:cs="Arial"/>
                <w:b/>
                <w:sz w:val="20"/>
              </w:rPr>
            </w:pPr>
            <w:r>
              <w:rPr>
                <w:rFonts w:cs="Arial"/>
                <w:b/>
                <w:sz w:val="20"/>
              </w:rPr>
              <w:t>85</w:t>
            </w:r>
            <w:r w:rsidRPr="00C03731">
              <w:rPr>
                <w:rFonts w:cs="Arial"/>
                <w:b/>
                <w:sz w:val="20"/>
              </w:rPr>
              <w:t>%</w:t>
            </w:r>
          </w:p>
        </w:tc>
      </w:tr>
      <w:tr w:rsidR="00242808" w:rsidRPr="00C03731" w14:paraId="744DEC9E" w14:textId="77777777" w:rsidTr="00242808">
        <w:trPr>
          <w:trHeight w:val="554"/>
        </w:trPr>
        <w:tc>
          <w:tcPr>
            <w:tcW w:w="4776" w:type="dxa"/>
            <w:tcBorders>
              <w:left w:val="single" w:sz="18" w:space="0" w:color="91278F"/>
            </w:tcBorders>
            <w:shd w:val="clear" w:color="auto" w:fill="auto"/>
            <w:vAlign w:val="center"/>
          </w:tcPr>
          <w:p w14:paraId="744DEC99" w14:textId="77777777" w:rsidR="00242808" w:rsidRPr="001A5B58" w:rsidRDefault="00242808" w:rsidP="00120853">
            <w:pPr>
              <w:keepNext/>
              <w:keepLines/>
              <w:rPr>
                <w:color w:val="000000" w:themeColor="text1"/>
                <w:sz w:val="20"/>
              </w:rPr>
            </w:pPr>
            <w:r w:rsidRPr="001A5B58">
              <w:rPr>
                <w:color w:val="000000" w:themeColor="text1"/>
                <w:sz w:val="20"/>
              </w:rPr>
              <w:t>Supporting and promoting councils who are trying to transform services to better support their communities.</w:t>
            </w:r>
            <w:r>
              <w:rPr>
                <w:rStyle w:val="FootnoteReference"/>
                <w:color w:val="000000" w:themeColor="text1"/>
                <w:sz w:val="20"/>
              </w:rPr>
              <w:footnoteReference w:id="4"/>
            </w:r>
          </w:p>
        </w:tc>
        <w:tc>
          <w:tcPr>
            <w:tcW w:w="1074" w:type="dxa"/>
            <w:shd w:val="clear" w:color="auto" w:fill="auto"/>
            <w:vAlign w:val="bottom"/>
          </w:tcPr>
          <w:p w14:paraId="744DEC9A" w14:textId="77777777" w:rsidR="00242808" w:rsidRPr="00C03731" w:rsidRDefault="00242808" w:rsidP="0027170A">
            <w:pPr>
              <w:jc w:val="right"/>
              <w:rPr>
                <w:rFonts w:cs="Arial"/>
                <w:sz w:val="20"/>
              </w:rPr>
            </w:pPr>
            <w:r>
              <w:rPr>
                <w:rFonts w:cs="Arial"/>
                <w:sz w:val="20"/>
              </w:rPr>
              <w:t>90</w:t>
            </w:r>
            <w:r w:rsidRPr="00C03731">
              <w:rPr>
                <w:rFonts w:cs="Arial"/>
                <w:sz w:val="20"/>
              </w:rPr>
              <w:t>%</w:t>
            </w:r>
          </w:p>
        </w:tc>
        <w:tc>
          <w:tcPr>
            <w:tcW w:w="1074" w:type="dxa"/>
            <w:shd w:val="clear" w:color="auto" w:fill="auto"/>
            <w:vAlign w:val="bottom"/>
          </w:tcPr>
          <w:p w14:paraId="744DEC9B" w14:textId="77777777" w:rsidR="00242808" w:rsidRPr="00C03731" w:rsidRDefault="00242808" w:rsidP="0027170A">
            <w:pPr>
              <w:jc w:val="right"/>
              <w:rPr>
                <w:rFonts w:cs="Arial"/>
                <w:sz w:val="20"/>
              </w:rPr>
            </w:pPr>
            <w:r>
              <w:rPr>
                <w:rFonts w:cs="Arial"/>
                <w:sz w:val="20"/>
              </w:rPr>
              <w:t>92</w:t>
            </w:r>
            <w:r w:rsidRPr="00C03731">
              <w:rPr>
                <w:rFonts w:cs="Arial"/>
                <w:sz w:val="20"/>
              </w:rPr>
              <w:t>%</w:t>
            </w:r>
          </w:p>
        </w:tc>
        <w:tc>
          <w:tcPr>
            <w:tcW w:w="1074" w:type="dxa"/>
            <w:vAlign w:val="bottom"/>
          </w:tcPr>
          <w:p w14:paraId="744DEC9C" w14:textId="77777777" w:rsidR="00242808" w:rsidRPr="00C03731" w:rsidRDefault="00242808" w:rsidP="0027170A">
            <w:pPr>
              <w:jc w:val="right"/>
              <w:rPr>
                <w:rFonts w:cs="Arial"/>
                <w:sz w:val="20"/>
              </w:rPr>
            </w:pPr>
            <w:r>
              <w:rPr>
                <w:rFonts w:cs="Arial"/>
                <w:sz w:val="20"/>
              </w:rPr>
              <w:t>91</w:t>
            </w:r>
            <w:r w:rsidRPr="00C03731">
              <w:rPr>
                <w:rFonts w:cs="Arial"/>
                <w:sz w:val="20"/>
              </w:rPr>
              <w:t>%</w:t>
            </w:r>
          </w:p>
        </w:tc>
        <w:tc>
          <w:tcPr>
            <w:tcW w:w="1075" w:type="dxa"/>
            <w:tcBorders>
              <w:right w:val="single" w:sz="18" w:space="0" w:color="91278F"/>
            </w:tcBorders>
            <w:vAlign w:val="bottom"/>
          </w:tcPr>
          <w:p w14:paraId="744DEC9D" w14:textId="77777777" w:rsidR="00242808" w:rsidRPr="00C03731" w:rsidRDefault="00242808" w:rsidP="0027170A">
            <w:pPr>
              <w:jc w:val="right"/>
              <w:rPr>
                <w:rFonts w:cs="Arial"/>
                <w:b/>
                <w:sz w:val="20"/>
              </w:rPr>
            </w:pPr>
            <w:r>
              <w:rPr>
                <w:rFonts w:cs="Arial"/>
                <w:b/>
                <w:sz w:val="20"/>
              </w:rPr>
              <w:t>81</w:t>
            </w:r>
            <w:r w:rsidRPr="00C03731">
              <w:rPr>
                <w:rFonts w:cs="Arial"/>
                <w:b/>
                <w:sz w:val="20"/>
              </w:rPr>
              <w:t>%</w:t>
            </w:r>
          </w:p>
        </w:tc>
      </w:tr>
      <w:tr w:rsidR="00242808" w:rsidRPr="00C03731" w14:paraId="744DECA4" w14:textId="77777777" w:rsidTr="00242808">
        <w:trPr>
          <w:trHeight w:val="537"/>
        </w:trPr>
        <w:tc>
          <w:tcPr>
            <w:tcW w:w="4776" w:type="dxa"/>
            <w:tcBorders>
              <w:left w:val="single" w:sz="18" w:space="0" w:color="91278F"/>
              <w:bottom w:val="single" w:sz="18" w:space="0" w:color="91278F"/>
            </w:tcBorders>
            <w:shd w:val="clear" w:color="auto" w:fill="auto"/>
            <w:vAlign w:val="center"/>
          </w:tcPr>
          <w:p w14:paraId="744DEC9F" w14:textId="77777777" w:rsidR="00242808" w:rsidRPr="001A5B58" w:rsidRDefault="00242808" w:rsidP="00120853">
            <w:pPr>
              <w:keepNext/>
              <w:keepLines/>
              <w:rPr>
                <w:b/>
                <w:color w:val="FFFFFF"/>
                <w:sz w:val="20"/>
              </w:rPr>
            </w:pPr>
            <w:r w:rsidRPr="001A5B58">
              <w:rPr>
                <w:color w:val="000000" w:themeColor="text1"/>
                <w:sz w:val="20"/>
              </w:rPr>
              <w:t>Providing a range of online tools to help sector led improvement (like LG Inform and access to Knowledge Hub (delivered by Capacity Grid))</w:t>
            </w:r>
            <w:r>
              <w:rPr>
                <w:rStyle w:val="FootnoteReference"/>
                <w:color w:val="000000" w:themeColor="text1"/>
                <w:sz w:val="20"/>
              </w:rPr>
              <w:footnoteReference w:id="5"/>
            </w:r>
          </w:p>
        </w:tc>
        <w:tc>
          <w:tcPr>
            <w:tcW w:w="1074" w:type="dxa"/>
            <w:tcBorders>
              <w:bottom w:val="single" w:sz="18" w:space="0" w:color="91278F"/>
            </w:tcBorders>
            <w:shd w:val="clear" w:color="auto" w:fill="auto"/>
            <w:vAlign w:val="bottom"/>
          </w:tcPr>
          <w:p w14:paraId="744DECA0" w14:textId="77777777" w:rsidR="00242808" w:rsidRPr="00C03731" w:rsidRDefault="00242808" w:rsidP="0027170A">
            <w:pPr>
              <w:jc w:val="right"/>
              <w:rPr>
                <w:rFonts w:cs="Arial"/>
                <w:sz w:val="20"/>
              </w:rPr>
            </w:pPr>
            <w:r w:rsidRPr="00C03731">
              <w:rPr>
                <w:rFonts w:cs="Arial"/>
                <w:sz w:val="20"/>
              </w:rPr>
              <w:t>69%</w:t>
            </w:r>
          </w:p>
        </w:tc>
        <w:tc>
          <w:tcPr>
            <w:tcW w:w="1074" w:type="dxa"/>
            <w:tcBorders>
              <w:bottom w:val="single" w:sz="18" w:space="0" w:color="91278F"/>
            </w:tcBorders>
            <w:shd w:val="clear" w:color="auto" w:fill="auto"/>
            <w:vAlign w:val="bottom"/>
          </w:tcPr>
          <w:p w14:paraId="744DECA1" w14:textId="77777777" w:rsidR="00242808" w:rsidRPr="00C03731" w:rsidRDefault="00242808" w:rsidP="0027170A">
            <w:pPr>
              <w:jc w:val="right"/>
              <w:rPr>
                <w:rFonts w:cs="Arial"/>
                <w:sz w:val="20"/>
              </w:rPr>
            </w:pPr>
            <w:r>
              <w:rPr>
                <w:rFonts w:cs="Arial"/>
                <w:sz w:val="20"/>
              </w:rPr>
              <w:t>75</w:t>
            </w:r>
            <w:r w:rsidRPr="00C03731">
              <w:rPr>
                <w:rFonts w:cs="Arial"/>
                <w:sz w:val="20"/>
              </w:rPr>
              <w:t>%</w:t>
            </w:r>
          </w:p>
        </w:tc>
        <w:tc>
          <w:tcPr>
            <w:tcW w:w="1074" w:type="dxa"/>
            <w:tcBorders>
              <w:bottom w:val="single" w:sz="18" w:space="0" w:color="91278F"/>
            </w:tcBorders>
            <w:vAlign w:val="bottom"/>
          </w:tcPr>
          <w:p w14:paraId="744DECA2" w14:textId="77777777" w:rsidR="00242808" w:rsidRPr="00C03731" w:rsidRDefault="00242808" w:rsidP="0027170A">
            <w:pPr>
              <w:jc w:val="right"/>
              <w:rPr>
                <w:rFonts w:cs="Arial"/>
                <w:sz w:val="20"/>
              </w:rPr>
            </w:pPr>
            <w:r>
              <w:rPr>
                <w:rFonts w:cs="Arial"/>
                <w:sz w:val="20"/>
              </w:rPr>
              <w:t>71</w:t>
            </w:r>
            <w:r w:rsidRPr="00C03731">
              <w:rPr>
                <w:rFonts w:cs="Arial"/>
                <w:sz w:val="20"/>
              </w:rPr>
              <w:t>%</w:t>
            </w:r>
          </w:p>
        </w:tc>
        <w:tc>
          <w:tcPr>
            <w:tcW w:w="1075" w:type="dxa"/>
            <w:tcBorders>
              <w:bottom w:val="single" w:sz="18" w:space="0" w:color="91278F"/>
              <w:right w:val="single" w:sz="18" w:space="0" w:color="91278F"/>
            </w:tcBorders>
            <w:vAlign w:val="bottom"/>
          </w:tcPr>
          <w:p w14:paraId="744DECA3" w14:textId="77777777" w:rsidR="00242808" w:rsidRPr="00C03731" w:rsidRDefault="00242808" w:rsidP="0027170A">
            <w:pPr>
              <w:jc w:val="right"/>
              <w:rPr>
                <w:rFonts w:cs="Arial"/>
                <w:b/>
                <w:sz w:val="20"/>
              </w:rPr>
            </w:pPr>
            <w:r>
              <w:rPr>
                <w:rFonts w:cs="Arial"/>
                <w:b/>
                <w:sz w:val="20"/>
              </w:rPr>
              <w:t>71</w:t>
            </w:r>
            <w:r w:rsidRPr="00C03731">
              <w:rPr>
                <w:rFonts w:cs="Arial"/>
                <w:b/>
                <w:sz w:val="20"/>
              </w:rPr>
              <w:t>%</w:t>
            </w:r>
          </w:p>
        </w:tc>
      </w:tr>
      <w:tr w:rsidR="00242808" w:rsidRPr="00C03731" w14:paraId="744DECAA" w14:textId="77777777" w:rsidTr="00242808">
        <w:trPr>
          <w:trHeight w:val="537"/>
        </w:trPr>
        <w:tc>
          <w:tcPr>
            <w:tcW w:w="4776" w:type="dxa"/>
            <w:tcBorders>
              <w:top w:val="single" w:sz="18" w:space="0" w:color="91278F"/>
              <w:left w:val="single" w:sz="18" w:space="0" w:color="91278F"/>
            </w:tcBorders>
            <w:shd w:val="clear" w:color="auto" w:fill="auto"/>
            <w:vAlign w:val="center"/>
          </w:tcPr>
          <w:p w14:paraId="744DECA5" w14:textId="77777777" w:rsidR="00242808" w:rsidRPr="001A5B58" w:rsidRDefault="00242808" w:rsidP="00120853">
            <w:pPr>
              <w:spacing w:before="100" w:beforeAutospacing="1" w:after="100" w:afterAutospacing="1"/>
              <w:ind w:right="60"/>
              <w:rPr>
                <w:rFonts w:cs="Arial"/>
                <w:sz w:val="20"/>
              </w:rPr>
            </w:pPr>
            <w:r w:rsidRPr="001A5B58">
              <w:rPr>
                <w:color w:val="000000" w:themeColor="text1"/>
                <w:sz w:val="20"/>
              </w:rPr>
              <w:t>How much, if anything, have you heard about this sector-led improvement approach?</w:t>
            </w:r>
          </w:p>
        </w:tc>
        <w:tc>
          <w:tcPr>
            <w:tcW w:w="1074" w:type="dxa"/>
            <w:tcBorders>
              <w:top w:val="single" w:sz="18" w:space="0" w:color="91278F"/>
            </w:tcBorders>
            <w:shd w:val="clear" w:color="auto" w:fill="auto"/>
            <w:vAlign w:val="bottom"/>
          </w:tcPr>
          <w:p w14:paraId="744DECA6" w14:textId="77777777" w:rsidR="00242808" w:rsidRPr="00C03731" w:rsidRDefault="00242808" w:rsidP="001A5B58">
            <w:pPr>
              <w:jc w:val="right"/>
              <w:rPr>
                <w:rFonts w:cs="Arial"/>
                <w:sz w:val="20"/>
              </w:rPr>
            </w:pPr>
            <w:r>
              <w:rPr>
                <w:rFonts w:cs="Arial"/>
                <w:sz w:val="20"/>
              </w:rPr>
              <w:t>41</w:t>
            </w:r>
          </w:p>
        </w:tc>
        <w:tc>
          <w:tcPr>
            <w:tcW w:w="1074" w:type="dxa"/>
            <w:tcBorders>
              <w:top w:val="single" w:sz="18" w:space="0" w:color="91278F"/>
            </w:tcBorders>
            <w:shd w:val="clear" w:color="auto" w:fill="auto"/>
            <w:vAlign w:val="bottom"/>
          </w:tcPr>
          <w:p w14:paraId="744DECA7" w14:textId="77777777" w:rsidR="00242808" w:rsidRPr="00C03731" w:rsidRDefault="00242808" w:rsidP="0027170A">
            <w:pPr>
              <w:jc w:val="right"/>
              <w:rPr>
                <w:rFonts w:cs="Arial"/>
                <w:sz w:val="20"/>
              </w:rPr>
            </w:pPr>
            <w:r>
              <w:rPr>
                <w:rFonts w:cs="Arial"/>
                <w:sz w:val="20"/>
              </w:rPr>
              <w:t>44</w:t>
            </w:r>
            <w:r w:rsidRPr="00C03731">
              <w:rPr>
                <w:rFonts w:cs="Arial"/>
                <w:sz w:val="20"/>
              </w:rPr>
              <w:t>%</w:t>
            </w:r>
          </w:p>
        </w:tc>
        <w:tc>
          <w:tcPr>
            <w:tcW w:w="1074" w:type="dxa"/>
            <w:tcBorders>
              <w:top w:val="single" w:sz="18" w:space="0" w:color="91278F"/>
            </w:tcBorders>
            <w:vAlign w:val="bottom"/>
          </w:tcPr>
          <w:p w14:paraId="744DECA8" w14:textId="77777777" w:rsidR="00242808" w:rsidRPr="00C03731" w:rsidRDefault="00242808" w:rsidP="0027170A">
            <w:pPr>
              <w:jc w:val="right"/>
              <w:rPr>
                <w:rFonts w:cs="Arial"/>
                <w:sz w:val="20"/>
              </w:rPr>
            </w:pPr>
            <w:r>
              <w:rPr>
                <w:rFonts w:cs="Arial"/>
                <w:sz w:val="20"/>
              </w:rPr>
              <w:t>42</w:t>
            </w:r>
            <w:r w:rsidRPr="00C03731">
              <w:rPr>
                <w:rFonts w:cs="Arial"/>
                <w:sz w:val="20"/>
              </w:rPr>
              <w:t>%</w:t>
            </w:r>
          </w:p>
        </w:tc>
        <w:tc>
          <w:tcPr>
            <w:tcW w:w="1075" w:type="dxa"/>
            <w:tcBorders>
              <w:top w:val="single" w:sz="18" w:space="0" w:color="91278F"/>
              <w:right w:val="single" w:sz="18" w:space="0" w:color="91278F"/>
            </w:tcBorders>
            <w:vAlign w:val="bottom"/>
          </w:tcPr>
          <w:p w14:paraId="744DECA9" w14:textId="77777777" w:rsidR="00242808" w:rsidRPr="00C03731" w:rsidRDefault="00242808" w:rsidP="0027170A">
            <w:pPr>
              <w:jc w:val="right"/>
              <w:rPr>
                <w:rFonts w:cs="Arial"/>
                <w:b/>
                <w:sz w:val="20"/>
              </w:rPr>
            </w:pPr>
            <w:r>
              <w:rPr>
                <w:rFonts w:cs="Arial"/>
                <w:b/>
                <w:sz w:val="20"/>
              </w:rPr>
              <w:t>51</w:t>
            </w:r>
            <w:r w:rsidRPr="00C03731">
              <w:rPr>
                <w:rFonts w:cs="Arial"/>
                <w:b/>
                <w:sz w:val="20"/>
              </w:rPr>
              <w:t>%</w:t>
            </w:r>
          </w:p>
        </w:tc>
      </w:tr>
      <w:tr w:rsidR="00242808" w:rsidRPr="00C03731" w14:paraId="744DECB1" w14:textId="77777777" w:rsidTr="00242808">
        <w:trPr>
          <w:trHeight w:val="554"/>
        </w:trPr>
        <w:tc>
          <w:tcPr>
            <w:tcW w:w="4776" w:type="dxa"/>
            <w:tcBorders>
              <w:left w:val="single" w:sz="18" w:space="0" w:color="91278F"/>
              <w:bottom w:val="single" w:sz="18" w:space="0" w:color="91278F"/>
            </w:tcBorders>
            <w:shd w:val="clear" w:color="auto" w:fill="auto"/>
            <w:vAlign w:val="center"/>
          </w:tcPr>
          <w:p w14:paraId="744DECAB" w14:textId="77777777" w:rsidR="00242808" w:rsidRPr="001A5B58" w:rsidRDefault="00242808" w:rsidP="00120853">
            <w:pPr>
              <w:keepNext/>
              <w:keepLines/>
              <w:rPr>
                <w:color w:val="000000" w:themeColor="text1"/>
                <w:sz w:val="20"/>
              </w:rPr>
            </w:pPr>
            <w:r w:rsidRPr="001A5B58">
              <w:rPr>
                <w:color w:val="000000" w:themeColor="text1"/>
                <w:sz w:val="20"/>
              </w:rPr>
              <w:t xml:space="preserve">To what extent do you agree or disagree with the following statement: </w:t>
            </w:r>
          </w:p>
          <w:p w14:paraId="744DECAC" w14:textId="77777777" w:rsidR="00242808" w:rsidRPr="001A5B58" w:rsidRDefault="00242808" w:rsidP="00120853">
            <w:pPr>
              <w:keepNext/>
              <w:keepLines/>
              <w:rPr>
                <w:color w:val="000000" w:themeColor="text1"/>
                <w:sz w:val="20"/>
              </w:rPr>
            </w:pPr>
            <w:r w:rsidRPr="001A5B58">
              <w:rPr>
                <w:color w:val="000000" w:themeColor="text1"/>
                <w:sz w:val="20"/>
              </w:rPr>
              <w:t>- The approach to sector-led improvement is the right approach in the current context.</w:t>
            </w:r>
            <w:r>
              <w:rPr>
                <w:rStyle w:val="FootnoteReference"/>
                <w:color w:val="000000" w:themeColor="text1"/>
                <w:sz w:val="20"/>
              </w:rPr>
              <w:footnoteReference w:id="6"/>
            </w:r>
          </w:p>
        </w:tc>
        <w:tc>
          <w:tcPr>
            <w:tcW w:w="1074" w:type="dxa"/>
            <w:tcBorders>
              <w:bottom w:val="single" w:sz="18" w:space="0" w:color="91278F"/>
            </w:tcBorders>
            <w:shd w:val="clear" w:color="auto" w:fill="auto"/>
            <w:vAlign w:val="bottom"/>
          </w:tcPr>
          <w:p w14:paraId="744DECAD" w14:textId="77777777" w:rsidR="00242808" w:rsidRPr="00C03731" w:rsidRDefault="00242808" w:rsidP="0027170A">
            <w:pPr>
              <w:jc w:val="right"/>
              <w:rPr>
                <w:rFonts w:cs="Arial"/>
                <w:sz w:val="20"/>
              </w:rPr>
            </w:pPr>
            <w:r>
              <w:rPr>
                <w:rFonts w:cs="Arial"/>
                <w:sz w:val="20"/>
              </w:rPr>
              <w:t>58</w:t>
            </w:r>
            <w:r w:rsidRPr="00C03731">
              <w:rPr>
                <w:rFonts w:cs="Arial"/>
                <w:sz w:val="20"/>
              </w:rPr>
              <w:t>%</w:t>
            </w:r>
          </w:p>
        </w:tc>
        <w:tc>
          <w:tcPr>
            <w:tcW w:w="1074" w:type="dxa"/>
            <w:tcBorders>
              <w:bottom w:val="single" w:sz="18" w:space="0" w:color="91278F"/>
            </w:tcBorders>
            <w:shd w:val="clear" w:color="auto" w:fill="auto"/>
            <w:vAlign w:val="bottom"/>
          </w:tcPr>
          <w:p w14:paraId="744DECAE" w14:textId="77777777" w:rsidR="00242808" w:rsidRPr="00C03731" w:rsidRDefault="00242808" w:rsidP="0027170A">
            <w:pPr>
              <w:jc w:val="right"/>
              <w:rPr>
                <w:rFonts w:cs="Arial"/>
                <w:sz w:val="20"/>
              </w:rPr>
            </w:pPr>
            <w:r>
              <w:rPr>
                <w:rFonts w:cs="Arial"/>
                <w:sz w:val="20"/>
              </w:rPr>
              <w:t>62</w:t>
            </w:r>
            <w:r w:rsidRPr="00C03731">
              <w:rPr>
                <w:rFonts w:cs="Arial"/>
                <w:sz w:val="20"/>
              </w:rPr>
              <w:t>%</w:t>
            </w:r>
          </w:p>
        </w:tc>
        <w:tc>
          <w:tcPr>
            <w:tcW w:w="1074" w:type="dxa"/>
            <w:tcBorders>
              <w:bottom w:val="single" w:sz="18" w:space="0" w:color="91278F"/>
            </w:tcBorders>
            <w:vAlign w:val="bottom"/>
          </w:tcPr>
          <w:p w14:paraId="744DECAF" w14:textId="77777777" w:rsidR="00242808" w:rsidRPr="00C03731" w:rsidRDefault="00242808" w:rsidP="0027170A">
            <w:pPr>
              <w:jc w:val="right"/>
              <w:rPr>
                <w:rFonts w:cs="Arial"/>
                <w:sz w:val="20"/>
              </w:rPr>
            </w:pPr>
            <w:r>
              <w:rPr>
                <w:rFonts w:cs="Arial"/>
                <w:sz w:val="20"/>
              </w:rPr>
              <w:t>63</w:t>
            </w:r>
            <w:r w:rsidRPr="00C03731">
              <w:rPr>
                <w:rFonts w:cs="Arial"/>
                <w:sz w:val="20"/>
              </w:rPr>
              <w:t>%</w:t>
            </w:r>
          </w:p>
        </w:tc>
        <w:tc>
          <w:tcPr>
            <w:tcW w:w="1075" w:type="dxa"/>
            <w:tcBorders>
              <w:bottom w:val="single" w:sz="18" w:space="0" w:color="91278F"/>
              <w:right w:val="single" w:sz="18" w:space="0" w:color="91278F"/>
            </w:tcBorders>
            <w:vAlign w:val="bottom"/>
          </w:tcPr>
          <w:p w14:paraId="744DECB0" w14:textId="77777777" w:rsidR="00242808" w:rsidRPr="00C03731" w:rsidRDefault="00242808" w:rsidP="0027170A">
            <w:pPr>
              <w:jc w:val="right"/>
              <w:rPr>
                <w:rFonts w:cs="Arial"/>
                <w:b/>
                <w:sz w:val="20"/>
              </w:rPr>
            </w:pPr>
            <w:r>
              <w:rPr>
                <w:rFonts w:cs="Arial"/>
                <w:b/>
                <w:sz w:val="20"/>
              </w:rPr>
              <w:t>71</w:t>
            </w:r>
            <w:r w:rsidRPr="00C03731">
              <w:rPr>
                <w:rFonts w:cs="Arial"/>
                <w:b/>
                <w:sz w:val="20"/>
              </w:rPr>
              <w:t>%</w:t>
            </w:r>
          </w:p>
        </w:tc>
      </w:tr>
    </w:tbl>
    <w:p w14:paraId="744DECB2" w14:textId="77777777" w:rsidR="00D53172" w:rsidRDefault="00D53172">
      <w:pPr>
        <w:rPr>
          <w:rFonts w:cs="Arial"/>
          <w:szCs w:val="24"/>
        </w:rPr>
      </w:pPr>
    </w:p>
    <w:p w14:paraId="744DECB3" w14:textId="77777777" w:rsidR="00A112ED" w:rsidRPr="00E660F7" w:rsidRDefault="00A112ED">
      <w:pPr>
        <w:rPr>
          <w:rFonts w:cs="Arial"/>
          <w:szCs w:val="24"/>
        </w:rPr>
      </w:pPr>
    </w:p>
    <w:p w14:paraId="744DECB4" w14:textId="14A3ECFF" w:rsidR="00A112ED" w:rsidRDefault="00A112ED" w:rsidP="0040282E">
      <w:pPr>
        <w:ind w:left="414" w:firstLine="720"/>
        <w:rPr>
          <w:rFonts w:cs="Arial"/>
          <w:b/>
          <w:sz w:val="22"/>
          <w:szCs w:val="22"/>
        </w:rPr>
      </w:pPr>
      <w:r w:rsidRPr="00E660F7">
        <w:rPr>
          <w:rFonts w:cs="Arial"/>
          <w:b/>
          <w:sz w:val="22"/>
          <w:szCs w:val="22"/>
        </w:rPr>
        <w:t xml:space="preserve">Helps set and drive improvement  </w:t>
      </w:r>
    </w:p>
    <w:p w14:paraId="6FC7B29F" w14:textId="77777777" w:rsidR="0040282E" w:rsidRPr="00E660F7" w:rsidRDefault="0040282E" w:rsidP="0040282E">
      <w:pPr>
        <w:ind w:left="414" w:firstLine="720"/>
        <w:rPr>
          <w:rFonts w:cs="Arial"/>
          <w:sz w:val="22"/>
          <w:szCs w:val="22"/>
        </w:rPr>
      </w:pPr>
    </w:p>
    <w:p w14:paraId="744DECB5" w14:textId="77777777" w:rsidR="00A112ED" w:rsidRPr="00E660F7" w:rsidRDefault="00A112ED" w:rsidP="0040282E">
      <w:pPr>
        <w:pStyle w:val="ListParagraph"/>
        <w:numPr>
          <w:ilvl w:val="1"/>
          <w:numId w:val="8"/>
        </w:numPr>
        <w:spacing w:before="0" w:after="0" w:line="240" w:lineRule="auto"/>
        <w:rPr>
          <w:rFonts w:cs="Arial"/>
          <w:sz w:val="22"/>
        </w:rPr>
      </w:pPr>
      <w:r w:rsidRPr="00E660F7">
        <w:rPr>
          <w:rFonts w:cs="Arial"/>
          <w:sz w:val="22"/>
        </w:rPr>
        <w:t>Opinion that the LGA ‘helps set and drive improvement in the local government sector’ has improved a little this year compared to previous years (</w:t>
      </w:r>
      <w:r w:rsidRPr="00E660F7">
        <w:rPr>
          <w:rFonts w:cs="Arial"/>
          <w:b/>
          <w:sz w:val="22"/>
        </w:rPr>
        <w:t>79 per cent</w:t>
      </w:r>
      <w:r w:rsidRPr="00E660F7">
        <w:rPr>
          <w:rFonts w:cs="Arial"/>
          <w:sz w:val="22"/>
        </w:rPr>
        <w:t xml:space="preserve"> in 2015, compared with 76 per cent and 77 per cent in 2013 and 2014). At </w:t>
      </w:r>
      <w:r w:rsidRPr="00E660F7">
        <w:rPr>
          <w:rFonts w:cs="Arial"/>
          <w:b/>
          <w:sz w:val="22"/>
        </w:rPr>
        <w:t>82 per cent</w:t>
      </w:r>
      <w:r w:rsidRPr="00E660F7">
        <w:rPr>
          <w:rFonts w:cs="Arial"/>
          <w:sz w:val="22"/>
        </w:rPr>
        <w:t xml:space="preserve"> and </w:t>
      </w:r>
      <w:r w:rsidRPr="00E660F7">
        <w:rPr>
          <w:rFonts w:cs="Arial"/>
          <w:b/>
          <w:sz w:val="22"/>
        </w:rPr>
        <w:t>83 per cent</w:t>
      </w:r>
      <w:r w:rsidRPr="00E660F7">
        <w:rPr>
          <w:rFonts w:cs="Arial"/>
          <w:sz w:val="22"/>
        </w:rPr>
        <w:t xml:space="preserve"> respectively </w:t>
      </w:r>
      <w:r w:rsidRPr="00E660F7">
        <w:rPr>
          <w:rFonts w:cs="Arial"/>
          <w:b/>
          <w:sz w:val="22"/>
        </w:rPr>
        <w:t>officers</w:t>
      </w:r>
      <w:r w:rsidRPr="00E660F7">
        <w:rPr>
          <w:rFonts w:cs="Arial"/>
          <w:sz w:val="22"/>
        </w:rPr>
        <w:t xml:space="preserve"> and </w:t>
      </w:r>
      <w:r w:rsidRPr="00E660F7">
        <w:rPr>
          <w:rFonts w:cs="Arial"/>
          <w:b/>
          <w:sz w:val="22"/>
        </w:rPr>
        <w:t>councillors</w:t>
      </w:r>
      <w:r w:rsidR="008E7BE3">
        <w:rPr>
          <w:rFonts w:cs="Arial"/>
          <w:b/>
          <w:sz w:val="22"/>
        </w:rPr>
        <w:t xml:space="preserve"> in executive positions</w:t>
      </w:r>
      <w:r w:rsidRPr="00E660F7">
        <w:rPr>
          <w:rFonts w:cs="Arial"/>
          <w:sz w:val="22"/>
        </w:rPr>
        <w:t xml:space="preserve"> are significantly more likely to agree than </w:t>
      </w:r>
      <w:r w:rsidR="008E7BE3" w:rsidRPr="008E7BE3">
        <w:rPr>
          <w:rFonts w:cs="Arial"/>
          <w:b/>
          <w:sz w:val="22"/>
        </w:rPr>
        <w:t>front-line</w:t>
      </w:r>
      <w:r w:rsidRPr="00E660F7">
        <w:rPr>
          <w:rFonts w:cs="Arial"/>
          <w:b/>
          <w:sz w:val="22"/>
        </w:rPr>
        <w:t xml:space="preserve"> councillors</w:t>
      </w:r>
      <w:r w:rsidRPr="00E660F7">
        <w:rPr>
          <w:rFonts w:cs="Arial"/>
          <w:sz w:val="22"/>
        </w:rPr>
        <w:t xml:space="preserve"> (</w:t>
      </w:r>
      <w:r w:rsidRPr="00E660F7">
        <w:rPr>
          <w:rFonts w:cs="Arial"/>
          <w:b/>
          <w:sz w:val="22"/>
        </w:rPr>
        <w:t>74 per cent</w:t>
      </w:r>
      <w:r w:rsidRPr="00E660F7">
        <w:rPr>
          <w:rFonts w:cs="Arial"/>
          <w:sz w:val="22"/>
        </w:rPr>
        <w:t>).</w:t>
      </w:r>
    </w:p>
    <w:p w14:paraId="744DECB6" w14:textId="77777777" w:rsidR="00A112ED" w:rsidRDefault="00A112ED" w:rsidP="00A112ED">
      <w:pPr>
        <w:rPr>
          <w:rFonts w:cs="Arial"/>
          <w:sz w:val="22"/>
          <w:szCs w:val="22"/>
        </w:rPr>
      </w:pPr>
    </w:p>
    <w:p w14:paraId="744DECB7" w14:textId="02FA4748" w:rsidR="00A112ED" w:rsidRDefault="00A112ED" w:rsidP="0040282E">
      <w:pPr>
        <w:ind w:left="414" w:firstLine="720"/>
        <w:rPr>
          <w:rFonts w:cs="Arial"/>
          <w:b/>
          <w:sz w:val="22"/>
          <w:szCs w:val="22"/>
        </w:rPr>
      </w:pPr>
      <w:r>
        <w:rPr>
          <w:rFonts w:cs="Arial"/>
          <w:b/>
          <w:sz w:val="22"/>
          <w:szCs w:val="22"/>
        </w:rPr>
        <w:t>Knowledge of s</w:t>
      </w:r>
      <w:r w:rsidRPr="00E30F58">
        <w:rPr>
          <w:rFonts w:cs="Arial"/>
          <w:b/>
          <w:sz w:val="22"/>
          <w:szCs w:val="22"/>
        </w:rPr>
        <w:t xml:space="preserve">ector led improvement </w:t>
      </w:r>
    </w:p>
    <w:p w14:paraId="039682B2" w14:textId="77777777" w:rsidR="0040282E" w:rsidRPr="00E30F58" w:rsidRDefault="0040282E" w:rsidP="0040282E">
      <w:pPr>
        <w:rPr>
          <w:rFonts w:cs="Arial"/>
          <w:b/>
          <w:sz w:val="22"/>
          <w:szCs w:val="22"/>
        </w:rPr>
      </w:pPr>
    </w:p>
    <w:p w14:paraId="744DECB8" w14:textId="25D71CE4" w:rsidR="00A112ED" w:rsidRDefault="00A112ED" w:rsidP="0040282E">
      <w:pPr>
        <w:pStyle w:val="ListParagraph"/>
        <w:numPr>
          <w:ilvl w:val="1"/>
          <w:numId w:val="8"/>
        </w:numPr>
        <w:spacing w:before="0" w:after="0" w:line="240" w:lineRule="auto"/>
        <w:rPr>
          <w:rFonts w:cs="Arial"/>
          <w:sz w:val="22"/>
        </w:rPr>
      </w:pPr>
      <w:r w:rsidRPr="00EB18CA">
        <w:rPr>
          <w:rFonts w:cs="Arial"/>
          <w:sz w:val="22"/>
        </w:rPr>
        <w:t xml:space="preserve">There has been a significant increase in how much </w:t>
      </w:r>
      <w:r>
        <w:rPr>
          <w:rFonts w:cs="Arial"/>
          <w:sz w:val="22"/>
        </w:rPr>
        <w:t>respondents have</w:t>
      </w:r>
      <w:r w:rsidRPr="00EB18CA">
        <w:rPr>
          <w:rFonts w:cs="Arial"/>
          <w:sz w:val="22"/>
        </w:rPr>
        <w:t xml:space="preserve"> hea</w:t>
      </w:r>
      <w:r>
        <w:rPr>
          <w:rFonts w:cs="Arial"/>
          <w:sz w:val="22"/>
        </w:rPr>
        <w:t xml:space="preserve">rd about </w:t>
      </w:r>
      <w:r w:rsidRPr="00EB18CA">
        <w:rPr>
          <w:rFonts w:cs="Arial"/>
          <w:sz w:val="22"/>
        </w:rPr>
        <w:t>sector</w:t>
      </w:r>
      <w:r w:rsidR="0087716F">
        <w:rPr>
          <w:rFonts w:cs="Arial"/>
          <w:sz w:val="22"/>
        </w:rPr>
        <w:t>-</w:t>
      </w:r>
      <w:r>
        <w:rPr>
          <w:rFonts w:cs="Arial"/>
          <w:sz w:val="22"/>
        </w:rPr>
        <w:t xml:space="preserve">led improvement, increasing from </w:t>
      </w:r>
      <w:r w:rsidRPr="00A112ED">
        <w:rPr>
          <w:rFonts w:cs="Arial"/>
          <w:sz w:val="22"/>
        </w:rPr>
        <w:t>42 per cent</w:t>
      </w:r>
      <w:r>
        <w:rPr>
          <w:rFonts w:cs="Arial"/>
          <w:sz w:val="22"/>
        </w:rPr>
        <w:t xml:space="preserve"> in 2014 to </w:t>
      </w:r>
      <w:r w:rsidRPr="00EB18CA">
        <w:rPr>
          <w:rFonts w:cs="Arial"/>
          <w:b/>
          <w:sz w:val="22"/>
        </w:rPr>
        <w:t>51 per cent</w:t>
      </w:r>
      <w:r>
        <w:rPr>
          <w:rFonts w:cs="Arial"/>
          <w:sz w:val="22"/>
        </w:rPr>
        <w:t xml:space="preserve"> in 2015. This is highest amongst </w:t>
      </w:r>
      <w:r w:rsidRPr="00EB18CA">
        <w:rPr>
          <w:rFonts w:cs="Arial"/>
          <w:b/>
          <w:sz w:val="22"/>
        </w:rPr>
        <w:t>chief executives</w:t>
      </w:r>
      <w:r>
        <w:rPr>
          <w:rFonts w:cs="Arial"/>
          <w:sz w:val="22"/>
        </w:rPr>
        <w:t xml:space="preserve"> (</w:t>
      </w:r>
      <w:r w:rsidRPr="00EB18CA">
        <w:rPr>
          <w:rFonts w:cs="Arial"/>
          <w:b/>
          <w:sz w:val="22"/>
        </w:rPr>
        <w:t>93 per cent</w:t>
      </w:r>
      <w:r>
        <w:rPr>
          <w:rFonts w:cs="Arial"/>
          <w:sz w:val="22"/>
        </w:rPr>
        <w:t xml:space="preserve">) and </w:t>
      </w:r>
      <w:r w:rsidRPr="00EB18CA">
        <w:rPr>
          <w:rFonts w:cs="Arial"/>
          <w:b/>
          <w:sz w:val="22"/>
        </w:rPr>
        <w:t>directors</w:t>
      </w:r>
      <w:r>
        <w:rPr>
          <w:rFonts w:cs="Arial"/>
          <w:sz w:val="22"/>
        </w:rPr>
        <w:t xml:space="preserve"> (</w:t>
      </w:r>
      <w:r w:rsidRPr="00EB18CA">
        <w:rPr>
          <w:rFonts w:cs="Arial"/>
          <w:b/>
          <w:sz w:val="22"/>
        </w:rPr>
        <w:t>70 per cent</w:t>
      </w:r>
      <w:r>
        <w:rPr>
          <w:rFonts w:cs="Arial"/>
          <w:sz w:val="22"/>
        </w:rPr>
        <w:t xml:space="preserve">) and lowest amongst </w:t>
      </w:r>
      <w:r w:rsidR="008E7BE3" w:rsidRPr="008E7BE3">
        <w:rPr>
          <w:rFonts w:cs="Arial"/>
          <w:b/>
          <w:sz w:val="22"/>
        </w:rPr>
        <w:t>front-lin</w:t>
      </w:r>
      <w:r w:rsidR="008E7BE3">
        <w:rPr>
          <w:rFonts w:cs="Arial"/>
          <w:b/>
          <w:sz w:val="22"/>
        </w:rPr>
        <w:t>e</w:t>
      </w:r>
      <w:r w:rsidRPr="00EB18CA">
        <w:rPr>
          <w:rFonts w:cs="Arial"/>
          <w:b/>
          <w:sz w:val="22"/>
        </w:rPr>
        <w:t xml:space="preserve"> councillors</w:t>
      </w:r>
      <w:r>
        <w:rPr>
          <w:rFonts w:cs="Arial"/>
          <w:sz w:val="22"/>
        </w:rPr>
        <w:t xml:space="preserve"> (</w:t>
      </w:r>
      <w:r w:rsidRPr="00EB18CA">
        <w:rPr>
          <w:rFonts w:cs="Arial"/>
          <w:b/>
          <w:sz w:val="22"/>
        </w:rPr>
        <w:t>33 per cent</w:t>
      </w:r>
      <w:r>
        <w:rPr>
          <w:rFonts w:cs="Arial"/>
          <w:sz w:val="22"/>
        </w:rPr>
        <w:t xml:space="preserve">). </w:t>
      </w:r>
    </w:p>
    <w:p w14:paraId="744DECB9" w14:textId="77777777" w:rsidR="00A112ED" w:rsidRDefault="00A112ED" w:rsidP="00A112ED">
      <w:pPr>
        <w:rPr>
          <w:rFonts w:cs="Arial"/>
          <w:sz w:val="22"/>
          <w:szCs w:val="22"/>
        </w:rPr>
      </w:pPr>
    </w:p>
    <w:p w14:paraId="744DECBA" w14:textId="434EBEA4" w:rsidR="00A112ED" w:rsidRDefault="00A112ED" w:rsidP="0040282E">
      <w:pPr>
        <w:ind w:left="414" w:firstLine="720"/>
        <w:rPr>
          <w:rFonts w:cs="Arial"/>
          <w:b/>
          <w:sz w:val="22"/>
          <w:szCs w:val="22"/>
        </w:rPr>
      </w:pPr>
      <w:r w:rsidRPr="007D3396">
        <w:rPr>
          <w:rFonts w:cs="Arial"/>
          <w:b/>
          <w:sz w:val="22"/>
          <w:szCs w:val="22"/>
        </w:rPr>
        <w:t xml:space="preserve">The right approach </w:t>
      </w:r>
    </w:p>
    <w:p w14:paraId="40208C47" w14:textId="77777777" w:rsidR="0040282E" w:rsidRPr="007D3396" w:rsidRDefault="0040282E" w:rsidP="00A112ED">
      <w:pPr>
        <w:rPr>
          <w:rFonts w:cs="Arial"/>
          <w:b/>
          <w:sz w:val="22"/>
          <w:szCs w:val="22"/>
        </w:rPr>
      </w:pPr>
    </w:p>
    <w:p w14:paraId="744DECBB" w14:textId="77777777" w:rsidR="00A112ED" w:rsidRDefault="00A112ED" w:rsidP="0040282E">
      <w:pPr>
        <w:pStyle w:val="ListParagraph"/>
        <w:numPr>
          <w:ilvl w:val="1"/>
          <w:numId w:val="8"/>
        </w:numPr>
        <w:spacing w:before="0" w:after="0" w:line="240" w:lineRule="auto"/>
        <w:rPr>
          <w:rFonts w:cs="Arial"/>
          <w:sz w:val="22"/>
        </w:rPr>
      </w:pPr>
      <w:r>
        <w:rPr>
          <w:rFonts w:cs="Arial"/>
          <w:sz w:val="22"/>
        </w:rPr>
        <w:t>When asked t</w:t>
      </w:r>
      <w:r w:rsidRPr="007D3396">
        <w:rPr>
          <w:rFonts w:cs="Arial"/>
          <w:sz w:val="22"/>
        </w:rPr>
        <w:t xml:space="preserve">o what extent </w:t>
      </w:r>
      <w:r>
        <w:rPr>
          <w:rFonts w:cs="Arial"/>
          <w:sz w:val="22"/>
        </w:rPr>
        <w:t>they</w:t>
      </w:r>
      <w:r w:rsidRPr="007D3396">
        <w:rPr>
          <w:rFonts w:cs="Arial"/>
          <w:sz w:val="22"/>
        </w:rPr>
        <w:t xml:space="preserve"> agree</w:t>
      </w:r>
      <w:r>
        <w:rPr>
          <w:rFonts w:cs="Arial"/>
          <w:sz w:val="22"/>
        </w:rPr>
        <w:t>d</w:t>
      </w:r>
      <w:r w:rsidRPr="007D3396">
        <w:rPr>
          <w:rFonts w:cs="Arial"/>
          <w:sz w:val="22"/>
        </w:rPr>
        <w:t xml:space="preserve"> or </w:t>
      </w:r>
      <w:r>
        <w:rPr>
          <w:rFonts w:cs="Arial"/>
          <w:sz w:val="22"/>
        </w:rPr>
        <w:t>disagreed that t</w:t>
      </w:r>
      <w:r w:rsidRPr="007D3396">
        <w:rPr>
          <w:rFonts w:cs="Arial"/>
          <w:sz w:val="22"/>
        </w:rPr>
        <w:t xml:space="preserve">he approach to sector-led improvement is the right </w:t>
      </w:r>
      <w:r>
        <w:rPr>
          <w:rFonts w:cs="Arial"/>
          <w:sz w:val="22"/>
        </w:rPr>
        <w:t xml:space="preserve">approach in the current context, </w:t>
      </w:r>
      <w:r w:rsidRPr="007D3396">
        <w:rPr>
          <w:rFonts w:cs="Arial"/>
          <w:b/>
          <w:sz w:val="22"/>
        </w:rPr>
        <w:t>71 per cent</w:t>
      </w:r>
      <w:r>
        <w:rPr>
          <w:rFonts w:cs="Arial"/>
          <w:sz w:val="22"/>
        </w:rPr>
        <w:t xml:space="preserve"> agreed,</w:t>
      </w:r>
      <w:r w:rsidR="00171D54">
        <w:rPr>
          <w:rFonts w:cs="Arial"/>
          <w:sz w:val="22"/>
        </w:rPr>
        <w:t xml:space="preserve"> whilst question wording changed slightly it is comparable with 2014.</w:t>
      </w:r>
      <w:r>
        <w:rPr>
          <w:rFonts w:cs="Arial"/>
          <w:sz w:val="22"/>
        </w:rPr>
        <w:t xml:space="preserve"> </w:t>
      </w:r>
      <w:r w:rsidR="00171D54">
        <w:rPr>
          <w:rFonts w:cs="Arial"/>
          <w:sz w:val="22"/>
        </w:rPr>
        <w:t xml:space="preserve">There has been </w:t>
      </w:r>
      <w:r>
        <w:rPr>
          <w:rFonts w:cs="Arial"/>
          <w:sz w:val="22"/>
        </w:rPr>
        <w:t>a significant increase since 2014 (</w:t>
      </w:r>
      <w:r w:rsidRPr="00A112ED">
        <w:rPr>
          <w:rFonts w:cs="Arial"/>
          <w:sz w:val="22"/>
        </w:rPr>
        <w:t>63 per cent). Whilst agreement was lower amongst backbench councillors (</w:t>
      </w:r>
      <w:r w:rsidR="00171D54" w:rsidRPr="00A112ED">
        <w:rPr>
          <w:rFonts w:cs="Arial"/>
          <w:sz w:val="22"/>
        </w:rPr>
        <w:t>6</w:t>
      </w:r>
      <w:r w:rsidR="00171D54">
        <w:rPr>
          <w:rFonts w:cs="Arial"/>
          <w:sz w:val="22"/>
        </w:rPr>
        <w:t>4</w:t>
      </w:r>
      <w:r w:rsidR="00171D54" w:rsidRPr="00A112ED">
        <w:rPr>
          <w:rFonts w:cs="Arial"/>
          <w:sz w:val="22"/>
        </w:rPr>
        <w:t xml:space="preserve"> </w:t>
      </w:r>
      <w:r w:rsidRPr="00A112ED">
        <w:rPr>
          <w:rFonts w:cs="Arial"/>
          <w:sz w:val="22"/>
        </w:rPr>
        <w:t>per cent</w:t>
      </w:r>
      <w:r>
        <w:rPr>
          <w:rFonts w:cs="Arial"/>
          <w:sz w:val="22"/>
        </w:rPr>
        <w:t>) there was a significant increase compared to 2014 (54 per cent).</w:t>
      </w:r>
    </w:p>
    <w:p w14:paraId="744DECBD" w14:textId="77777777" w:rsidR="008E6760" w:rsidRPr="00E30F58" w:rsidRDefault="008E6760" w:rsidP="00A112ED">
      <w:pPr>
        <w:rPr>
          <w:rFonts w:cs="Arial"/>
          <w:sz w:val="22"/>
          <w:szCs w:val="22"/>
        </w:rPr>
      </w:pPr>
    </w:p>
    <w:p w14:paraId="744DECBE" w14:textId="0EE982DD" w:rsidR="00B4666A" w:rsidRPr="00A112ED" w:rsidRDefault="006356AE" w:rsidP="00D649C2">
      <w:pPr>
        <w:rPr>
          <w:rFonts w:cs="Arial"/>
          <w:b/>
          <w:sz w:val="22"/>
          <w:szCs w:val="22"/>
        </w:rPr>
      </w:pPr>
      <w:r w:rsidRPr="00A112ED">
        <w:rPr>
          <w:rFonts w:cs="Arial"/>
          <w:b/>
          <w:sz w:val="22"/>
          <w:szCs w:val="22"/>
        </w:rPr>
        <w:t>Conclusions</w:t>
      </w:r>
    </w:p>
    <w:p w14:paraId="2F4E0997" w14:textId="77777777" w:rsidR="0040282E" w:rsidRDefault="0040282E" w:rsidP="005C5204">
      <w:pPr>
        <w:rPr>
          <w:rFonts w:cs="Arial"/>
          <w:sz w:val="22"/>
          <w:szCs w:val="22"/>
        </w:rPr>
      </w:pPr>
    </w:p>
    <w:p w14:paraId="744DECBF" w14:textId="77777777" w:rsidR="00861232" w:rsidRPr="0040282E" w:rsidRDefault="00B815F9" w:rsidP="0040282E">
      <w:pPr>
        <w:pStyle w:val="ListParagraph"/>
        <w:numPr>
          <w:ilvl w:val="0"/>
          <w:numId w:val="8"/>
        </w:numPr>
        <w:spacing w:before="0" w:after="0" w:line="240" w:lineRule="auto"/>
        <w:ind w:left="357"/>
        <w:rPr>
          <w:sz w:val="22"/>
        </w:rPr>
      </w:pPr>
      <w:r w:rsidRPr="0040282E">
        <w:rPr>
          <w:sz w:val="22"/>
        </w:rPr>
        <w:t xml:space="preserve">These results </w:t>
      </w:r>
      <w:r w:rsidR="00861232" w:rsidRPr="0040282E">
        <w:rPr>
          <w:sz w:val="22"/>
        </w:rPr>
        <w:t xml:space="preserve">demonstrate that we have broadly maintained the significant improvements in satisfaction ratings achieved </w:t>
      </w:r>
      <w:r w:rsidR="00AE2220" w:rsidRPr="0040282E">
        <w:rPr>
          <w:sz w:val="22"/>
        </w:rPr>
        <w:t>s</w:t>
      </w:r>
      <w:r w:rsidR="00861232" w:rsidRPr="0040282E">
        <w:rPr>
          <w:sz w:val="22"/>
        </w:rPr>
        <w:t>in</w:t>
      </w:r>
      <w:r w:rsidR="00AE2220" w:rsidRPr="0040282E">
        <w:rPr>
          <w:sz w:val="22"/>
        </w:rPr>
        <w:t>ce</w:t>
      </w:r>
      <w:r w:rsidR="00861232" w:rsidRPr="0040282E">
        <w:rPr>
          <w:sz w:val="22"/>
        </w:rPr>
        <w:t xml:space="preserve"> 2013.</w:t>
      </w:r>
    </w:p>
    <w:p w14:paraId="744DECC0" w14:textId="77777777" w:rsidR="00861232" w:rsidRPr="0040282E" w:rsidRDefault="00861232" w:rsidP="0040282E">
      <w:pPr>
        <w:pStyle w:val="ListParagraph"/>
        <w:numPr>
          <w:ilvl w:val="0"/>
          <w:numId w:val="0"/>
        </w:numPr>
        <w:spacing w:before="0" w:after="0" w:line="240" w:lineRule="auto"/>
        <w:ind w:left="357"/>
        <w:rPr>
          <w:sz w:val="22"/>
        </w:rPr>
      </w:pPr>
    </w:p>
    <w:p w14:paraId="744DECC1" w14:textId="77777777" w:rsidR="00861232" w:rsidRPr="0040282E" w:rsidRDefault="00B815F9" w:rsidP="0040282E">
      <w:pPr>
        <w:pStyle w:val="ListParagraph"/>
        <w:numPr>
          <w:ilvl w:val="0"/>
          <w:numId w:val="8"/>
        </w:numPr>
        <w:spacing w:before="0" w:after="0" w:line="240" w:lineRule="auto"/>
        <w:ind w:left="357"/>
        <w:rPr>
          <w:sz w:val="22"/>
        </w:rPr>
      </w:pPr>
      <w:r w:rsidRPr="0040282E">
        <w:rPr>
          <w:sz w:val="22"/>
        </w:rPr>
        <w:t xml:space="preserve">Satisfaction </w:t>
      </w:r>
      <w:r w:rsidR="00861232" w:rsidRPr="0040282E">
        <w:rPr>
          <w:sz w:val="22"/>
        </w:rPr>
        <w:t xml:space="preserve">remains high in most key areas </w:t>
      </w:r>
      <w:r w:rsidRPr="0040282E">
        <w:rPr>
          <w:sz w:val="22"/>
        </w:rPr>
        <w:t>with people more likely to speak positively about the LGA and our work.  Awareness</w:t>
      </w:r>
      <w:r w:rsidR="007C4E80" w:rsidRPr="0040282E">
        <w:rPr>
          <w:sz w:val="22"/>
        </w:rPr>
        <w:t xml:space="preserve"> of the LGA and the work </w:t>
      </w:r>
      <w:r w:rsidRPr="0040282E">
        <w:rPr>
          <w:sz w:val="22"/>
        </w:rPr>
        <w:t>we</w:t>
      </w:r>
      <w:r w:rsidR="007C4E80" w:rsidRPr="0040282E">
        <w:rPr>
          <w:sz w:val="22"/>
        </w:rPr>
        <w:t xml:space="preserve"> undertake</w:t>
      </w:r>
      <w:r w:rsidRPr="0040282E">
        <w:rPr>
          <w:sz w:val="22"/>
        </w:rPr>
        <w:t xml:space="preserve"> </w:t>
      </w:r>
      <w:r w:rsidR="00861232" w:rsidRPr="0040282E">
        <w:rPr>
          <w:sz w:val="22"/>
        </w:rPr>
        <w:t>remains high</w:t>
      </w:r>
      <w:r w:rsidRPr="0040282E">
        <w:rPr>
          <w:sz w:val="22"/>
        </w:rPr>
        <w:t>.</w:t>
      </w:r>
    </w:p>
    <w:p w14:paraId="744DECC2" w14:textId="77777777" w:rsidR="00861232" w:rsidRPr="0040282E" w:rsidRDefault="00861232" w:rsidP="0040282E">
      <w:pPr>
        <w:pStyle w:val="ListParagraph"/>
        <w:numPr>
          <w:ilvl w:val="0"/>
          <w:numId w:val="0"/>
        </w:numPr>
        <w:spacing w:before="0" w:after="0" w:line="240" w:lineRule="auto"/>
        <w:ind w:left="357"/>
        <w:rPr>
          <w:sz w:val="22"/>
        </w:rPr>
      </w:pPr>
    </w:p>
    <w:p w14:paraId="744DECC3" w14:textId="31D0BB35" w:rsidR="004E445C" w:rsidRPr="0040282E" w:rsidRDefault="004E445C" w:rsidP="0040282E">
      <w:pPr>
        <w:pStyle w:val="ListParagraph"/>
        <w:numPr>
          <w:ilvl w:val="0"/>
          <w:numId w:val="8"/>
        </w:numPr>
        <w:spacing w:before="0" w:after="0" w:line="240" w:lineRule="auto"/>
        <w:ind w:left="357"/>
        <w:rPr>
          <w:sz w:val="22"/>
        </w:rPr>
      </w:pPr>
      <w:r w:rsidRPr="0040282E">
        <w:rPr>
          <w:sz w:val="22"/>
        </w:rPr>
        <w:t xml:space="preserve">The issue of more fully engaging </w:t>
      </w:r>
      <w:r w:rsidR="008E7BE3" w:rsidRPr="0040282E">
        <w:rPr>
          <w:sz w:val="22"/>
        </w:rPr>
        <w:t>front-line</w:t>
      </w:r>
      <w:r w:rsidR="00B815F9" w:rsidRPr="0040282E">
        <w:rPr>
          <w:sz w:val="22"/>
        </w:rPr>
        <w:t xml:space="preserve"> </w:t>
      </w:r>
      <w:r w:rsidR="0087716F" w:rsidRPr="0040282E">
        <w:rPr>
          <w:sz w:val="22"/>
        </w:rPr>
        <w:t>councillors’</w:t>
      </w:r>
      <w:r w:rsidR="00B815F9" w:rsidRPr="0040282E">
        <w:rPr>
          <w:sz w:val="22"/>
        </w:rPr>
        <w:t xml:space="preserve"> remain</w:t>
      </w:r>
      <w:r w:rsidRPr="0040282E">
        <w:rPr>
          <w:sz w:val="22"/>
        </w:rPr>
        <w:t>s a challenge for us.</w:t>
      </w:r>
      <w:r w:rsidR="00B815F9" w:rsidRPr="0040282E">
        <w:rPr>
          <w:sz w:val="22"/>
        </w:rPr>
        <w:t xml:space="preserve"> However, t</w:t>
      </w:r>
      <w:r w:rsidR="007C4E80" w:rsidRPr="0040282E">
        <w:rPr>
          <w:sz w:val="22"/>
        </w:rPr>
        <w:t xml:space="preserve">he overall proportion of those </w:t>
      </w:r>
      <w:r w:rsidR="00B815F9" w:rsidRPr="0040282E">
        <w:rPr>
          <w:sz w:val="22"/>
        </w:rPr>
        <w:t>who</w:t>
      </w:r>
      <w:r w:rsidR="007C4E80" w:rsidRPr="0040282E">
        <w:rPr>
          <w:sz w:val="22"/>
        </w:rPr>
        <w:t xml:space="preserve"> </w:t>
      </w:r>
      <w:r w:rsidRPr="0040282E">
        <w:rPr>
          <w:sz w:val="22"/>
        </w:rPr>
        <w:t>‘</w:t>
      </w:r>
      <w:r w:rsidR="007C4E80" w:rsidRPr="0040282E">
        <w:rPr>
          <w:sz w:val="22"/>
        </w:rPr>
        <w:t>know just a little</w:t>
      </w:r>
      <w:r w:rsidRPr="0040282E">
        <w:rPr>
          <w:sz w:val="22"/>
        </w:rPr>
        <w:t>’</w:t>
      </w:r>
      <w:r w:rsidR="007C4E80" w:rsidRPr="0040282E">
        <w:rPr>
          <w:sz w:val="22"/>
        </w:rPr>
        <w:t xml:space="preserve"> about the LGA</w:t>
      </w:r>
      <w:r w:rsidRPr="0040282E">
        <w:rPr>
          <w:sz w:val="22"/>
        </w:rPr>
        <w:t xml:space="preserve"> and those who ‘know very little’ about our work continues to decrease.</w:t>
      </w:r>
      <w:r w:rsidR="00AE2220" w:rsidRPr="0040282E">
        <w:rPr>
          <w:sz w:val="22"/>
        </w:rPr>
        <w:t xml:space="preserve">  This is positive.</w:t>
      </w:r>
    </w:p>
    <w:p w14:paraId="744DECC4" w14:textId="77777777" w:rsidR="004E445C" w:rsidRPr="0040282E" w:rsidRDefault="004E445C" w:rsidP="0040282E">
      <w:pPr>
        <w:pStyle w:val="ListParagraph"/>
        <w:numPr>
          <w:ilvl w:val="0"/>
          <w:numId w:val="0"/>
        </w:numPr>
        <w:spacing w:before="0" w:after="0" w:line="240" w:lineRule="auto"/>
        <w:ind w:left="357"/>
        <w:rPr>
          <w:sz w:val="22"/>
        </w:rPr>
      </w:pPr>
    </w:p>
    <w:p w14:paraId="744DECC5" w14:textId="77777777" w:rsidR="004E445C" w:rsidRPr="0040282E" w:rsidRDefault="00AE2220" w:rsidP="0040282E">
      <w:pPr>
        <w:pStyle w:val="ListParagraph"/>
        <w:numPr>
          <w:ilvl w:val="0"/>
          <w:numId w:val="8"/>
        </w:numPr>
        <w:spacing w:before="0" w:after="0" w:line="240" w:lineRule="auto"/>
        <w:ind w:left="357"/>
        <w:rPr>
          <w:sz w:val="22"/>
        </w:rPr>
      </w:pPr>
      <w:r w:rsidRPr="0040282E">
        <w:rPr>
          <w:sz w:val="22"/>
        </w:rPr>
        <w:t>T</w:t>
      </w:r>
      <w:r w:rsidR="004E445C" w:rsidRPr="0040282E">
        <w:rPr>
          <w:sz w:val="22"/>
        </w:rPr>
        <w:t xml:space="preserve">here was a </w:t>
      </w:r>
      <w:r w:rsidR="00B72CB0" w:rsidRPr="0040282E">
        <w:rPr>
          <w:sz w:val="22"/>
        </w:rPr>
        <w:t xml:space="preserve">further </w:t>
      </w:r>
      <w:r w:rsidR="004E445C" w:rsidRPr="0040282E">
        <w:rPr>
          <w:sz w:val="22"/>
        </w:rPr>
        <w:t>increase</w:t>
      </w:r>
      <w:r w:rsidR="00B72CB0" w:rsidRPr="0040282E">
        <w:rPr>
          <w:sz w:val="22"/>
        </w:rPr>
        <w:t xml:space="preserve"> this year in those who feel we </w:t>
      </w:r>
      <w:r w:rsidR="004E445C" w:rsidRPr="0040282E">
        <w:rPr>
          <w:sz w:val="22"/>
        </w:rPr>
        <w:t>demonstrat</w:t>
      </w:r>
      <w:r w:rsidR="00B72CB0" w:rsidRPr="0040282E">
        <w:rPr>
          <w:sz w:val="22"/>
        </w:rPr>
        <w:t>e</w:t>
      </w:r>
      <w:r w:rsidR="004E445C" w:rsidRPr="0040282E">
        <w:rPr>
          <w:sz w:val="22"/>
        </w:rPr>
        <w:t xml:space="preserve"> value for money for the funding we receive</w:t>
      </w:r>
      <w:r w:rsidRPr="0040282E">
        <w:rPr>
          <w:sz w:val="22"/>
        </w:rPr>
        <w:t xml:space="preserve">.  However, </w:t>
      </w:r>
      <w:r w:rsidR="00B72CB0" w:rsidRPr="0040282E">
        <w:rPr>
          <w:sz w:val="22"/>
        </w:rPr>
        <w:t xml:space="preserve">this is an area we </w:t>
      </w:r>
      <w:r w:rsidRPr="0040282E">
        <w:rPr>
          <w:sz w:val="22"/>
        </w:rPr>
        <w:t>will need to continue to focus on.</w:t>
      </w:r>
    </w:p>
    <w:p w14:paraId="744DECC6" w14:textId="77777777" w:rsidR="004E445C" w:rsidRPr="0040282E" w:rsidRDefault="004E445C" w:rsidP="0040282E">
      <w:pPr>
        <w:pStyle w:val="ListParagraph"/>
        <w:numPr>
          <w:ilvl w:val="0"/>
          <w:numId w:val="0"/>
        </w:numPr>
        <w:spacing w:before="0" w:after="0" w:line="240" w:lineRule="auto"/>
        <w:ind w:left="357"/>
        <w:rPr>
          <w:sz w:val="22"/>
        </w:rPr>
      </w:pPr>
    </w:p>
    <w:p w14:paraId="744DECC7" w14:textId="77777777" w:rsidR="007C4E80" w:rsidRPr="0040282E" w:rsidRDefault="00AE2220" w:rsidP="0040282E">
      <w:pPr>
        <w:pStyle w:val="ListParagraph"/>
        <w:numPr>
          <w:ilvl w:val="0"/>
          <w:numId w:val="8"/>
        </w:numPr>
        <w:spacing w:before="0" w:after="0" w:line="240" w:lineRule="auto"/>
        <w:ind w:left="357"/>
        <w:rPr>
          <w:sz w:val="22"/>
        </w:rPr>
      </w:pPr>
      <w:r w:rsidRPr="0040282E">
        <w:rPr>
          <w:sz w:val="22"/>
        </w:rPr>
        <w:t>Our m</w:t>
      </w:r>
      <w:r w:rsidR="004E445C" w:rsidRPr="0040282E">
        <w:rPr>
          <w:sz w:val="22"/>
        </w:rPr>
        <w:t>embers continue to feel well informed and this has a</w:t>
      </w:r>
      <w:r w:rsidR="00B72CB0" w:rsidRPr="0040282E">
        <w:rPr>
          <w:sz w:val="22"/>
        </w:rPr>
        <w:t xml:space="preserve"> significant im</w:t>
      </w:r>
      <w:r w:rsidR="004E445C" w:rsidRPr="0040282E">
        <w:rPr>
          <w:sz w:val="22"/>
        </w:rPr>
        <w:t xml:space="preserve">pact on overall </w:t>
      </w:r>
      <w:r w:rsidR="00B72CB0" w:rsidRPr="0040282E">
        <w:rPr>
          <w:sz w:val="22"/>
        </w:rPr>
        <w:t xml:space="preserve">satisfaction </w:t>
      </w:r>
      <w:r w:rsidR="00120853" w:rsidRPr="0040282E">
        <w:rPr>
          <w:sz w:val="22"/>
        </w:rPr>
        <w:t xml:space="preserve">results. </w:t>
      </w:r>
    </w:p>
    <w:p w14:paraId="744DECC8" w14:textId="77777777" w:rsidR="004E445C" w:rsidRPr="0040282E" w:rsidRDefault="004E445C" w:rsidP="0040282E">
      <w:pPr>
        <w:pStyle w:val="ListParagraph"/>
        <w:numPr>
          <w:ilvl w:val="0"/>
          <w:numId w:val="0"/>
        </w:numPr>
        <w:spacing w:before="0" w:after="0" w:line="240" w:lineRule="auto"/>
        <w:ind w:left="357"/>
        <w:rPr>
          <w:sz w:val="22"/>
        </w:rPr>
      </w:pPr>
    </w:p>
    <w:p w14:paraId="744DECC9" w14:textId="77777777" w:rsidR="007C4E80" w:rsidRPr="00481AB6" w:rsidRDefault="007C4E80" w:rsidP="0040282E">
      <w:pPr>
        <w:pStyle w:val="ListParagraph"/>
        <w:numPr>
          <w:ilvl w:val="0"/>
          <w:numId w:val="8"/>
        </w:numPr>
        <w:spacing w:before="0" w:after="0" w:line="240" w:lineRule="auto"/>
        <w:ind w:left="357"/>
        <w:rPr>
          <w:rFonts w:cs="Arial"/>
          <w:sz w:val="22"/>
        </w:rPr>
      </w:pPr>
      <w:r w:rsidRPr="0040282E">
        <w:rPr>
          <w:sz w:val="22"/>
        </w:rPr>
        <w:t xml:space="preserve">As in </w:t>
      </w:r>
      <w:r w:rsidR="004E445C" w:rsidRPr="0040282E">
        <w:rPr>
          <w:sz w:val="22"/>
        </w:rPr>
        <w:t xml:space="preserve">previous years, </w:t>
      </w:r>
      <w:r w:rsidRPr="0040282E">
        <w:rPr>
          <w:sz w:val="22"/>
        </w:rPr>
        <w:t xml:space="preserve">the services and </w:t>
      </w:r>
      <w:r w:rsidR="00AE2220" w:rsidRPr="0040282E">
        <w:rPr>
          <w:sz w:val="22"/>
        </w:rPr>
        <w:t>work</w:t>
      </w:r>
      <w:r w:rsidRPr="0040282E">
        <w:rPr>
          <w:sz w:val="22"/>
        </w:rPr>
        <w:t xml:space="preserve"> delivered by the LGA that are perceived to be of the most importance to respondents tend to be related to the </w:t>
      </w:r>
      <w:r w:rsidRPr="0040282E">
        <w:rPr>
          <w:sz w:val="22"/>
        </w:rPr>
        <w:lastRenderedPageBreak/>
        <w:t>national role</w:t>
      </w:r>
      <w:r w:rsidRPr="00481AB6">
        <w:rPr>
          <w:rFonts w:cs="Arial"/>
          <w:sz w:val="22"/>
        </w:rPr>
        <w:t xml:space="preserve"> the LGA has in lobbying on behalf of local government </w:t>
      </w:r>
      <w:r w:rsidR="004E445C" w:rsidRPr="00481AB6">
        <w:rPr>
          <w:rFonts w:cs="Arial"/>
          <w:sz w:val="22"/>
        </w:rPr>
        <w:t>and in providing a ‘national voice’.</w:t>
      </w:r>
    </w:p>
    <w:p w14:paraId="744DECCA" w14:textId="77777777" w:rsidR="007C4E80" w:rsidRPr="00481AB6" w:rsidRDefault="007C4E80" w:rsidP="007C4E80">
      <w:pPr>
        <w:rPr>
          <w:rFonts w:cs="Arial"/>
          <w:sz w:val="22"/>
          <w:szCs w:val="22"/>
        </w:rPr>
      </w:pPr>
    </w:p>
    <w:p w14:paraId="744DECCB" w14:textId="77777777" w:rsidR="00B72CB0" w:rsidRDefault="00F512A5" w:rsidP="0040282E">
      <w:pPr>
        <w:pStyle w:val="ListParagraph"/>
        <w:numPr>
          <w:ilvl w:val="0"/>
          <w:numId w:val="8"/>
        </w:numPr>
        <w:spacing w:before="0" w:after="0" w:line="240" w:lineRule="auto"/>
        <w:ind w:left="357"/>
        <w:rPr>
          <w:rFonts w:cs="Arial"/>
          <w:sz w:val="22"/>
        </w:rPr>
      </w:pPr>
      <w:r w:rsidRPr="0040282E">
        <w:rPr>
          <w:sz w:val="22"/>
        </w:rPr>
        <w:t>There</w:t>
      </w:r>
      <w:r w:rsidRPr="00481AB6">
        <w:rPr>
          <w:rFonts w:cs="Arial"/>
          <w:sz w:val="22"/>
        </w:rPr>
        <w:t xml:space="preserve"> remains strong support for sector-led improvement as the main way for the sector to drive improvement.  </w:t>
      </w:r>
      <w:r w:rsidR="00B72CB0">
        <w:rPr>
          <w:rFonts w:cs="Arial"/>
          <w:sz w:val="22"/>
        </w:rPr>
        <w:t>Our work over the last year to promote our sector-led offer has seen increases in awareness and overall satisfaction.</w:t>
      </w:r>
    </w:p>
    <w:p w14:paraId="744DECCC" w14:textId="77777777" w:rsidR="00F512A5" w:rsidRPr="00481AB6" w:rsidRDefault="00F512A5" w:rsidP="007C4E80">
      <w:pPr>
        <w:rPr>
          <w:rFonts w:cs="Arial"/>
          <w:sz w:val="22"/>
          <w:szCs w:val="22"/>
        </w:rPr>
      </w:pPr>
    </w:p>
    <w:p w14:paraId="744DECCE" w14:textId="1EE6B684" w:rsidR="00B4666A" w:rsidRDefault="00F512A5" w:rsidP="00600F7C">
      <w:pPr>
        <w:rPr>
          <w:rFonts w:cs="Arial"/>
          <w:b/>
          <w:sz w:val="22"/>
          <w:szCs w:val="22"/>
        </w:rPr>
      </w:pPr>
      <w:r w:rsidRPr="00481AB6">
        <w:rPr>
          <w:rFonts w:cs="Arial"/>
          <w:sz w:val="22"/>
          <w:szCs w:val="22"/>
        </w:rPr>
        <w:t xml:space="preserve"> </w:t>
      </w:r>
      <w:r w:rsidR="00F66236" w:rsidRPr="00481AB6">
        <w:rPr>
          <w:rFonts w:cs="Arial"/>
          <w:b/>
          <w:sz w:val="22"/>
          <w:szCs w:val="22"/>
        </w:rPr>
        <w:t>Next steps</w:t>
      </w:r>
    </w:p>
    <w:p w14:paraId="461599A4" w14:textId="77777777" w:rsidR="0087716F" w:rsidRDefault="0087716F" w:rsidP="00600F7C">
      <w:pPr>
        <w:rPr>
          <w:rFonts w:cs="Arial"/>
          <w:b/>
          <w:sz w:val="22"/>
          <w:szCs w:val="22"/>
        </w:rPr>
      </w:pPr>
    </w:p>
    <w:p w14:paraId="744DECCF" w14:textId="77777777" w:rsidR="00C804CC" w:rsidRDefault="00C804CC" w:rsidP="0087716F">
      <w:pPr>
        <w:pStyle w:val="ListParagraph"/>
        <w:numPr>
          <w:ilvl w:val="0"/>
          <w:numId w:val="8"/>
        </w:numPr>
        <w:spacing w:before="0" w:after="0" w:line="240" w:lineRule="auto"/>
        <w:ind w:left="357"/>
        <w:rPr>
          <w:rFonts w:cs="Arial"/>
          <w:sz w:val="22"/>
        </w:rPr>
      </w:pPr>
      <w:r w:rsidRPr="00481AB6">
        <w:rPr>
          <w:rFonts w:cs="Arial"/>
          <w:sz w:val="22"/>
        </w:rPr>
        <w:t xml:space="preserve">The findings from this year’s </w:t>
      </w:r>
      <w:r>
        <w:rPr>
          <w:rFonts w:cs="Arial"/>
          <w:sz w:val="22"/>
        </w:rPr>
        <w:t xml:space="preserve">perceptions survey will be shared with </w:t>
      </w:r>
      <w:r w:rsidR="0072441A">
        <w:rPr>
          <w:rFonts w:cs="Arial"/>
          <w:sz w:val="22"/>
        </w:rPr>
        <w:t xml:space="preserve">the LGA Executive and </w:t>
      </w:r>
      <w:r>
        <w:rPr>
          <w:rFonts w:cs="Arial"/>
          <w:sz w:val="22"/>
        </w:rPr>
        <w:t>staff</w:t>
      </w:r>
      <w:r w:rsidR="0072441A">
        <w:rPr>
          <w:rFonts w:cs="Arial"/>
          <w:sz w:val="22"/>
        </w:rPr>
        <w:t>.</w:t>
      </w:r>
    </w:p>
    <w:p w14:paraId="744DECD0" w14:textId="77777777" w:rsidR="0072441A" w:rsidRPr="00481AB6" w:rsidRDefault="0072441A" w:rsidP="0087716F">
      <w:pPr>
        <w:pStyle w:val="ListParagraph"/>
        <w:numPr>
          <w:ilvl w:val="0"/>
          <w:numId w:val="0"/>
        </w:numPr>
        <w:spacing w:before="0" w:after="0" w:line="240" w:lineRule="auto"/>
        <w:ind w:left="357"/>
        <w:rPr>
          <w:rFonts w:cs="Arial"/>
          <w:sz w:val="22"/>
        </w:rPr>
      </w:pPr>
    </w:p>
    <w:p w14:paraId="744DECD1" w14:textId="7E841C76" w:rsidR="00C804CC" w:rsidRDefault="008F0A82" w:rsidP="0087716F">
      <w:pPr>
        <w:pStyle w:val="ListParagraph"/>
        <w:numPr>
          <w:ilvl w:val="0"/>
          <w:numId w:val="8"/>
        </w:numPr>
        <w:spacing w:before="0" w:after="0" w:line="240" w:lineRule="auto"/>
        <w:ind w:left="357"/>
        <w:rPr>
          <w:rFonts w:cs="Arial"/>
          <w:sz w:val="22"/>
        </w:rPr>
      </w:pPr>
      <w:r w:rsidRPr="00481AB6">
        <w:rPr>
          <w:rFonts w:cs="Arial"/>
          <w:sz w:val="22"/>
        </w:rPr>
        <w:t>W</w:t>
      </w:r>
      <w:r w:rsidR="00855A45" w:rsidRPr="00481AB6">
        <w:rPr>
          <w:rFonts w:cs="Arial"/>
          <w:sz w:val="22"/>
        </w:rPr>
        <w:t xml:space="preserve">ork </w:t>
      </w:r>
      <w:r w:rsidR="00B72CB0">
        <w:rPr>
          <w:rFonts w:cs="Arial"/>
          <w:sz w:val="22"/>
        </w:rPr>
        <w:t>is currently underway to r</w:t>
      </w:r>
      <w:r w:rsidRPr="00481AB6">
        <w:rPr>
          <w:rFonts w:cs="Arial"/>
          <w:sz w:val="22"/>
        </w:rPr>
        <w:t xml:space="preserve">efresh </w:t>
      </w:r>
      <w:r w:rsidR="00B72CB0">
        <w:rPr>
          <w:rFonts w:cs="Arial"/>
          <w:sz w:val="22"/>
        </w:rPr>
        <w:t>our three-year communications plan and strategy.  In addition, a paper setting ou</w:t>
      </w:r>
      <w:r w:rsidR="00C804CC">
        <w:rPr>
          <w:rFonts w:cs="Arial"/>
          <w:sz w:val="22"/>
        </w:rPr>
        <w:t>t</w:t>
      </w:r>
      <w:r w:rsidR="00B72CB0">
        <w:rPr>
          <w:rFonts w:cs="Arial"/>
          <w:sz w:val="22"/>
        </w:rPr>
        <w:t xml:space="preserve"> our prio</w:t>
      </w:r>
      <w:r w:rsidR="00C804CC">
        <w:rPr>
          <w:rFonts w:cs="Arial"/>
          <w:sz w:val="22"/>
        </w:rPr>
        <w:t>rity</w:t>
      </w:r>
      <w:r w:rsidR="00B72CB0">
        <w:rPr>
          <w:rFonts w:cs="Arial"/>
          <w:sz w:val="22"/>
        </w:rPr>
        <w:t xml:space="preserve"> </w:t>
      </w:r>
      <w:r w:rsidR="00C804CC">
        <w:rPr>
          <w:rFonts w:cs="Arial"/>
          <w:sz w:val="22"/>
        </w:rPr>
        <w:t>campaigns</w:t>
      </w:r>
      <w:r w:rsidR="00B72CB0">
        <w:rPr>
          <w:rFonts w:cs="Arial"/>
          <w:sz w:val="22"/>
        </w:rPr>
        <w:t xml:space="preserve">, based on </w:t>
      </w:r>
      <w:r w:rsidR="00C804CC">
        <w:rPr>
          <w:rFonts w:cs="Arial"/>
          <w:sz w:val="22"/>
        </w:rPr>
        <w:t>issues highlighted by councils, is</w:t>
      </w:r>
      <w:r w:rsidR="00F654B9">
        <w:rPr>
          <w:rFonts w:cs="Arial"/>
          <w:sz w:val="22"/>
        </w:rPr>
        <w:t xml:space="preserve"> also </w:t>
      </w:r>
      <w:r w:rsidR="00C804CC">
        <w:rPr>
          <w:rFonts w:cs="Arial"/>
          <w:sz w:val="22"/>
        </w:rPr>
        <w:t xml:space="preserve"> going to </w:t>
      </w:r>
      <w:r w:rsidR="00B72CB0">
        <w:rPr>
          <w:rFonts w:cs="Arial"/>
          <w:sz w:val="22"/>
        </w:rPr>
        <w:t xml:space="preserve">Leadership Board </w:t>
      </w:r>
      <w:r w:rsidR="00C804CC">
        <w:rPr>
          <w:rFonts w:cs="Arial"/>
          <w:sz w:val="22"/>
        </w:rPr>
        <w:t xml:space="preserve">for approval.  </w:t>
      </w:r>
      <w:r w:rsidR="00C804CC" w:rsidRPr="00A37A7E">
        <w:rPr>
          <w:rFonts w:cs="Arial"/>
          <w:sz w:val="22"/>
        </w:rPr>
        <w:t xml:space="preserve">Our sector-led improvement awareness campaign will continue to be developed so we highlight the growing improvement offer we are able to provide to councils.    </w:t>
      </w:r>
    </w:p>
    <w:p w14:paraId="744DECD2" w14:textId="77777777" w:rsidR="00C804CC" w:rsidRDefault="00C804CC" w:rsidP="0087716F">
      <w:pPr>
        <w:pStyle w:val="ListParagraph"/>
        <w:numPr>
          <w:ilvl w:val="0"/>
          <w:numId w:val="0"/>
        </w:numPr>
        <w:spacing w:before="0" w:after="0" w:line="240" w:lineRule="auto"/>
        <w:ind w:left="357"/>
        <w:rPr>
          <w:rFonts w:cs="Arial"/>
          <w:sz w:val="22"/>
        </w:rPr>
      </w:pPr>
    </w:p>
    <w:p w14:paraId="744DECD3" w14:textId="77777777" w:rsidR="00C804CC" w:rsidRDefault="00F66236" w:rsidP="0087716F">
      <w:pPr>
        <w:pStyle w:val="ListParagraph"/>
        <w:numPr>
          <w:ilvl w:val="0"/>
          <w:numId w:val="8"/>
        </w:numPr>
        <w:spacing w:before="0" w:after="0" w:line="240" w:lineRule="auto"/>
        <w:ind w:left="357"/>
        <w:rPr>
          <w:rFonts w:cs="Arial"/>
          <w:sz w:val="22"/>
        </w:rPr>
      </w:pPr>
      <w:r w:rsidRPr="00481AB6">
        <w:rPr>
          <w:rFonts w:cs="Arial"/>
          <w:sz w:val="22"/>
        </w:rPr>
        <w:t>T</w:t>
      </w:r>
      <w:r w:rsidR="008C498C" w:rsidRPr="00481AB6">
        <w:rPr>
          <w:rFonts w:cs="Arial"/>
          <w:sz w:val="22"/>
        </w:rPr>
        <w:t xml:space="preserve">he work to engage </w:t>
      </w:r>
      <w:r w:rsidR="008E7BE3">
        <w:rPr>
          <w:rFonts w:cs="Arial"/>
          <w:sz w:val="22"/>
        </w:rPr>
        <w:t>front-line</w:t>
      </w:r>
      <w:r w:rsidR="008C498C" w:rsidRPr="00481AB6">
        <w:rPr>
          <w:rFonts w:cs="Arial"/>
          <w:sz w:val="22"/>
        </w:rPr>
        <w:t xml:space="preserve"> councillors will </w:t>
      </w:r>
      <w:r w:rsidR="008D211F" w:rsidRPr="00481AB6">
        <w:rPr>
          <w:rFonts w:cs="Arial"/>
          <w:sz w:val="22"/>
        </w:rPr>
        <w:t>continue to be</w:t>
      </w:r>
      <w:r w:rsidR="008C498C" w:rsidRPr="00481AB6">
        <w:rPr>
          <w:rFonts w:cs="Arial"/>
          <w:sz w:val="22"/>
        </w:rPr>
        <w:t xml:space="preserve"> developed to ensure all members, whether they play a leading role in their council or undertake a ward function understand the key activities and benefits of being a member of the LGA.  </w:t>
      </w:r>
    </w:p>
    <w:p w14:paraId="744DECD4" w14:textId="77777777" w:rsidR="00C804CC" w:rsidRDefault="00C804CC" w:rsidP="0087716F">
      <w:pPr>
        <w:pStyle w:val="ListParagraph"/>
        <w:numPr>
          <w:ilvl w:val="0"/>
          <w:numId w:val="0"/>
        </w:numPr>
        <w:spacing w:before="0" w:after="0" w:line="240" w:lineRule="auto"/>
        <w:ind w:left="357"/>
        <w:rPr>
          <w:rFonts w:cs="Arial"/>
          <w:sz w:val="22"/>
        </w:rPr>
      </w:pPr>
    </w:p>
    <w:p w14:paraId="744DECD5" w14:textId="77777777" w:rsidR="00467D63" w:rsidRDefault="00C804CC" w:rsidP="0087716F">
      <w:pPr>
        <w:pStyle w:val="ListParagraph"/>
        <w:numPr>
          <w:ilvl w:val="0"/>
          <w:numId w:val="8"/>
        </w:numPr>
        <w:spacing w:before="0" w:after="0" w:line="240" w:lineRule="auto"/>
        <w:ind w:left="357"/>
        <w:rPr>
          <w:rFonts w:cs="Arial"/>
          <w:sz w:val="22"/>
        </w:rPr>
      </w:pPr>
      <w:r>
        <w:rPr>
          <w:rFonts w:cs="Arial"/>
          <w:sz w:val="22"/>
        </w:rPr>
        <w:t>The annual review of our membership packs will continue so that we highlight the benefits of membership of the organisation</w:t>
      </w:r>
      <w:r w:rsidR="0072441A">
        <w:rPr>
          <w:rFonts w:cs="Arial"/>
          <w:sz w:val="22"/>
        </w:rPr>
        <w:t>.</w:t>
      </w:r>
    </w:p>
    <w:tbl>
      <w:tblPr>
        <w:tblW w:w="14174" w:type="dxa"/>
        <w:tblInd w:w="-432" w:type="dxa"/>
        <w:tblLook w:val="01E0" w:firstRow="1" w:lastRow="1" w:firstColumn="1" w:lastColumn="1" w:noHBand="0" w:noVBand="0"/>
      </w:tblPr>
      <w:tblGrid>
        <w:gridCol w:w="2293"/>
        <w:gridCol w:w="11881"/>
      </w:tblGrid>
      <w:tr w:rsidR="007A2983" w:rsidRPr="00E31031" w14:paraId="744DECD8" w14:textId="77777777" w:rsidTr="0087716F">
        <w:trPr>
          <w:trHeight w:val="80"/>
        </w:trPr>
        <w:tc>
          <w:tcPr>
            <w:tcW w:w="2293" w:type="dxa"/>
            <w:shd w:val="clear" w:color="auto" w:fill="auto"/>
          </w:tcPr>
          <w:p w14:paraId="744DECD6" w14:textId="77777777" w:rsidR="007A2983" w:rsidRPr="0067257A" w:rsidRDefault="007A2983" w:rsidP="00CB53A8">
            <w:pPr>
              <w:rPr>
                <w:rFonts w:cs="Arial"/>
                <w:b/>
              </w:rPr>
            </w:pPr>
          </w:p>
        </w:tc>
        <w:tc>
          <w:tcPr>
            <w:tcW w:w="11881" w:type="dxa"/>
            <w:shd w:val="clear" w:color="auto" w:fill="auto"/>
          </w:tcPr>
          <w:p w14:paraId="744DECD7" w14:textId="77777777" w:rsidR="007A2983" w:rsidRPr="00E31031" w:rsidRDefault="007A2983" w:rsidP="00072926">
            <w:pPr>
              <w:jc w:val="center"/>
              <w:rPr>
                <w:rFonts w:cs="Arial"/>
                <w:b/>
                <w:highlight w:val="yellow"/>
              </w:rPr>
            </w:pPr>
          </w:p>
        </w:tc>
      </w:tr>
    </w:tbl>
    <w:p w14:paraId="744DECD9" w14:textId="77777777" w:rsidR="00FF523D" w:rsidRDefault="00FF523D" w:rsidP="00467D63"/>
    <w:sectPr w:rsidR="00FF523D" w:rsidSect="00072926">
      <w:headerReference w:type="default" r:id="rId13"/>
      <w:footerReference w:type="default" r:id="rId14"/>
      <w:headerReference w:type="firs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ECDC" w14:textId="77777777" w:rsidR="00DE782F" w:rsidRDefault="00DE782F">
      <w:r>
        <w:separator/>
      </w:r>
    </w:p>
  </w:endnote>
  <w:endnote w:type="continuationSeparator" w:id="0">
    <w:p w14:paraId="744DECDD" w14:textId="77777777" w:rsidR="00DE782F" w:rsidRDefault="00DE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ECE8" w14:textId="77777777" w:rsidR="008E7BE3" w:rsidRDefault="008E7BE3" w:rsidP="00580EDF">
    <w:pPr>
      <w:pStyle w:val="Footer"/>
      <w:tabs>
        <w:tab w:val="clear" w:pos="4153"/>
        <w:tab w:val="clear" w:pos="8306"/>
        <w:tab w:val="right" w:pos="9923"/>
      </w:tabs>
      <w:ind w:right="-994"/>
      <w:jc w:val="cen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DECDA" w14:textId="77777777" w:rsidR="00DE782F" w:rsidRDefault="00DE782F">
      <w:r>
        <w:separator/>
      </w:r>
    </w:p>
  </w:footnote>
  <w:footnote w:type="continuationSeparator" w:id="0">
    <w:p w14:paraId="744DECDB" w14:textId="77777777" w:rsidR="00DE782F" w:rsidRDefault="00DE782F">
      <w:r>
        <w:continuationSeparator/>
      </w:r>
    </w:p>
  </w:footnote>
  <w:footnote w:id="1">
    <w:p w14:paraId="744DECFA" w14:textId="77777777" w:rsidR="008E7BE3" w:rsidRDefault="008E7BE3">
      <w:pPr>
        <w:pStyle w:val="FootnoteText"/>
      </w:pPr>
      <w:r>
        <w:rPr>
          <w:rStyle w:val="FootnoteReference"/>
        </w:rPr>
        <w:footnoteRef/>
      </w:r>
      <w:r>
        <w:t xml:space="preserve"> </w:t>
      </w:r>
      <w:r>
        <w:rPr>
          <w:rFonts w:cs="Arial"/>
          <w:szCs w:val="24"/>
        </w:rPr>
        <w:t>Previously:  I am going to read out a list of activities conducted by the LGA. For each, I would  like you to tell me whether they are important or not to your authority/council or the sector</w:t>
      </w:r>
    </w:p>
  </w:footnote>
  <w:footnote w:id="2">
    <w:p w14:paraId="744DECFB" w14:textId="77777777" w:rsidR="008E7BE3" w:rsidRDefault="008E7BE3">
      <w:pPr>
        <w:pStyle w:val="FootnoteText"/>
      </w:pPr>
      <w:r>
        <w:rPr>
          <w:rStyle w:val="FootnoteReference"/>
        </w:rPr>
        <w:footnoteRef/>
      </w:r>
      <w:r>
        <w:t xml:space="preserve"> Previously: Providing support and challenge for ‘local government self-improvement’ (2012) and Providing support and challenge for ‘councils to improve (2013 and 2014)</w:t>
      </w:r>
    </w:p>
  </w:footnote>
  <w:footnote w:id="3">
    <w:p w14:paraId="744DECFC" w14:textId="77777777" w:rsidR="008E7BE3" w:rsidRDefault="008E7BE3">
      <w:pPr>
        <w:pStyle w:val="FootnoteText"/>
      </w:pPr>
      <w:r>
        <w:rPr>
          <w:rStyle w:val="FootnoteReference"/>
        </w:rPr>
        <w:footnoteRef/>
      </w:r>
      <w:r>
        <w:t xml:space="preserve"> Previously: </w:t>
      </w:r>
      <w:r w:rsidRPr="00BF70AD">
        <w:t>Providing support for sector led improvement (for example, peer challenge and mentoring, support for leadership, workforce management and productivity)</w:t>
      </w:r>
    </w:p>
  </w:footnote>
  <w:footnote w:id="4">
    <w:p w14:paraId="744DECFD" w14:textId="77777777" w:rsidR="008E7BE3" w:rsidRDefault="008E7BE3">
      <w:pPr>
        <w:pStyle w:val="FootnoteText"/>
      </w:pPr>
      <w:r>
        <w:rPr>
          <w:rStyle w:val="FootnoteReference"/>
        </w:rPr>
        <w:footnoteRef/>
      </w:r>
      <w:r>
        <w:t xml:space="preserve"> Previously: </w:t>
      </w:r>
      <w:r w:rsidRPr="00BF70AD">
        <w:t>Supporting and promoting councils who are trying to transform services to better support their communities.</w:t>
      </w:r>
    </w:p>
  </w:footnote>
  <w:footnote w:id="5">
    <w:p w14:paraId="744DECFE" w14:textId="77777777" w:rsidR="008E7BE3" w:rsidRDefault="008E7BE3">
      <w:pPr>
        <w:pStyle w:val="FootnoteText"/>
      </w:pPr>
      <w:r>
        <w:rPr>
          <w:rStyle w:val="FootnoteReference"/>
        </w:rPr>
        <w:footnoteRef/>
      </w:r>
      <w:r>
        <w:t xml:space="preserve"> Previously: </w:t>
      </w:r>
      <w:r w:rsidRPr="00BF70AD">
        <w:t>Providing a range of online tools to help ‘self-improvement, like Kno</w:t>
      </w:r>
      <w:r>
        <w:t>wledge Hub and LG Inform’ (2012 and 2013) and</w:t>
      </w:r>
      <w:r w:rsidRPr="00BF70AD">
        <w:t xml:space="preserve"> ‘sector led improvement, like LG Inform and access to Knowledge Hub (delivered by Capacity Grid)’ (2014)</w:t>
      </w:r>
    </w:p>
  </w:footnote>
  <w:footnote w:id="6">
    <w:p w14:paraId="744DECFF" w14:textId="77777777" w:rsidR="008E7BE3" w:rsidRDefault="008E7BE3" w:rsidP="00BF70AD">
      <w:pPr>
        <w:pStyle w:val="FootnoteText"/>
      </w:pPr>
      <w:r>
        <w:rPr>
          <w:rStyle w:val="FootnoteReference"/>
        </w:rPr>
        <w:footnoteRef/>
      </w:r>
      <w:r>
        <w:t xml:space="preserve"> Previously: Please indicate whether you agree or disagree with the following statement: The approach to sector-led improvement is the right approach in the current context.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343"/>
      <w:gridCol w:w="2969"/>
    </w:tblGrid>
    <w:tr w:rsidR="00C662BB" w:rsidRPr="00C662BB" w14:paraId="05EAFC59" w14:textId="77777777" w:rsidTr="00652767">
      <w:tc>
        <w:tcPr>
          <w:tcW w:w="5920" w:type="dxa"/>
          <w:vMerge w:val="restart"/>
          <w:shd w:val="clear" w:color="auto" w:fill="auto"/>
        </w:tcPr>
        <w:p w14:paraId="2D9BC328" w14:textId="77777777" w:rsidR="00C662BB" w:rsidRPr="00C662BB" w:rsidRDefault="00C662BB" w:rsidP="00C662BB">
          <w:pPr>
            <w:tabs>
              <w:tab w:val="center" w:pos="2923"/>
            </w:tabs>
            <w:rPr>
              <w:rFonts w:ascii="Frutiger 45 Light" w:hAnsi="Frutiger 45 Light"/>
              <w:sz w:val="22"/>
            </w:rPr>
          </w:pPr>
          <w:r w:rsidRPr="00C662BB">
            <w:rPr>
              <w:rFonts w:cs="Arial"/>
              <w:noProof/>
              <w:sz w:val="44"/>
              <w:szCs w:val="44"/>
            </w:rPr>
            <w:drawing>
              <wp:inline distT="0" distB="0" distL="0" distR="0" wp14:anchorId="7E6A05D3" wp14:editId="446E7998">
                <wp:extent cx="1085850" cy="64770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B9A9FA3" w14:textId="6ECE357A" w:rsidR="00C662BB" w:rsidRPr="00C662BB" w:rsidRDefault="006F37C7" w:rsidP="00C662BB">
          <w:pPr>
            <w:tabs>
              <w:tab w:val="center" w:pos="4153"/>
              <w:tab w:val="right" w:pos="8306"/>
            </w:tabs>
            <w:rPr>
              <w:rFonts w:cs="Arial"/>
              <w:b/>
              <w:sz w:val="22"/>
              <w:szCs w:val="22"/>
            </w:rPr>
          </w:pPr>
          <w:r>
            <w:rPr>
              <w:rFonts w:cs="Arial"/>
              <w:b/>
              <w:sz w:val="22"/>
              <w:szCs w:val="22"/>
            </w:rPr>
            <w:t>LGA Executive</w:t>
          </w:r>
        </w:p>
      </w:tc>
    </w:tr>
    <w:tr w:rsidR="00C662BB" w:rsidRPr="00C662BB" w14:paraId="299C08C5" w14:textId="77777777" w:rsidTr="00652767">
      <w:trPr>
        <w:trHeight w:val="450"/>
      </w:trPr>
      <w:tc>
        <w:tcPr>
          <w:tcW w:w="5920" w:type="dxa"/>
          <w:vMerge/>
          <w:shd w:val="clear" w:color="auto" w:fill="auto"/>
        </w:tcPr>
        <w:p w14:paraId="22DF846D" w14:textId="77777777" w:rsidR="00C662BB" w:rsidRPr="00C662BB" w:rsidRDefault="00C662BB" w:rsidP="00C662BB">
          <w:pPr>
            <w:tabs>
              <w:tab w:val="center" w:pos="4153"/>
              <w:tab w:val="right" w:pos="8306"/>
            </w:tabs>
            <w:rPr>
              <w:rFonts w:ascii="Frutiger 45 Light" w:hAnsi="Frutiger 45 Light"/>
              <w:sz w:val="22"/>
            </w:rPr>
          </w:pPr>
        </w:p>
      </w:tc>
      <w:tc>
        <w:tcPr>
          <w:tcW w:w="3260" w:type="dxa"/>
          <w:shd w:val="clear" w:color="auto" w:fill="auto"/>
          <w:vAlign w:val="center"/>
        </w:tcPr>
        <w:p w14:paraId="73E815DF" w14:textId="607EDF49" w:rsidR="00C662BB" w:rsidRPr="00C662BB" w:rsidRDefault="006F37C7" w:rsidP="00C662BB">
          <w:pPr>
            <w:tabs>
              <w:tab w:val="center" w:pos="4153"/>
              <w:tab w:val="right" w:pos="8306"/>
            </w:tabs>
            <w:spacing w:before="60"/>
            <w:rPr>
              <w:rFonts w:cs="Arial"/>
              <w:sz w:val="22"/>
              <w:szCs w:val="22"/>
            </w:rPr>
          </w:pPr>
          <w:r>
            <w:rPr>
              <w:rFonts w:cs="Arial"/>
              <w:sz w:val="22"/>
              <w:szCs w:val="22"/>
            </w:rPr>
            <w:t>3</w:t>
          </w:r>
          <w:r w:rsidR="00C662BB" w:rsidRPr="00C662BB">
            <w:rPr>
              <w:rFonts w:cs="Arial"/>
              <w:sz w:val="22"/>
              <w:szCs w:val="22"/>
            </w:rPr>
            <w:t xml:space="preserve"> March 2016</w:t>
          </w:r>
        </w:p>
      </w:tc>
    </w:tr>
    <w:tr w:rsidR="00C662BB" w:rsidRPr="00C662BB" w14:paraId="0BA9713E" w14:textId="77777777" w:rsidTr="00652767">
      <w:trPr>
        <w:trHeight w:val="708"/>
      </w:trPr>
      <w:tc>
        <w:tcPr>
          <w:tcW w:w="5920" w:type="dxa"/>
          <w:vMerge/>
          <w:shd w:val="clear" w:color="auto" w:fill="auto"/>
        </w:tcPr>
        <w:p w14:paraId="620931AD" w14:textId="77777777" w:rsidR="00C662BB" w:rsidRPr="00C662BB" w:rsidRDefault="00C662BB" w:rsidP="00C662BB">
          <w:pPr>
            <w:tabs>
              <w:tab w:val="center" w:pos="4153"/>
              <w:tab w:val="right" w:pos="8306"/>
            </w:tabs>
            <w:rPr>
              <w:rFonts w:ascii="Frutiger 45 Light" w:hAnsi="Frutiger 45 Light"/>
              <w:sz w:val="22"/>
            </w:rPr>
          </w:pPr>
        </w:p>
      </w:tc>
      <w:tc>
        <w:tcPr>
          <w:tcW w:w="3260" w:type="dxa"/>
          <w:shd w:val="clear" w:color="auto" w:fill="auto"/>
          <w:vAlign w:val="center"/>
        </w:tcPr>
        <w:p w14:paraId="15C397F6" w14:textId="77777777" w:rsidR="00C662BB" w:rsidRPr="00C662BB" w:rsidRDefault="00C662BB" w:rsidP="00C662BB">
          <w:pPr>
            <w:tabs>
              <w:tab w:val="center" w:pos="4153"/>
              <w:tab w:val="right" w:pos="8306"/>
            </w:tabs>
            <w:spacing w:before="60"/>
            <w:rPr>
              <w:rFonts w:cs="Arial"/>
              <w:b/>
              <w:sz w:val="22"/>
              <w:szCs w:val="22"/>
            </w:rPr>
          </w:pPr>
        </w:p>
      </w:tc>
    </w:tr>
  </w:tbl>
  <w:p w14:paraId="744DECE7" w14:textId="77777777" w:rsidR="008E7BE3" w:rsidRDefault="008E7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ECE9" w14:textId="77777777" w:rsidR="008E7BE3" w:rsidRDefault="008E7BE3" w:rsidP="00070BBA">
    <w:pPr>
      <w:pStyle w:val="Header"/>
      <w:rPr>
        <w:sz w:val="2"/>
      </w:rPr>
    </w:pPr>
  </w:p>
  <w:p w14:paraId="744DECEA" w14:textId="77777777" w:rsidR="008E7BE3" w:rsidRDefault="008E7BE3" w:rsidP="00070BBA">
    <w:pPr>
      <w:pStyle w:val="Header"/>
      <w:rPr>
        <w:sz w:val="2"/>
      </w:rPr>
    </w:pPr>
  </w:p>
  <w:tbl>
    <w:tblPr>
      <w:tblW w:w="0" w:type="auto"/>
      <w:tblLook w:val="01E0" w:firstRow="1" w:lastRow="1" w:firstColumn="1" w:lastColumn="1" w:noHBand="0" w:noVBand="0"/>
    </w:tblPr>
    <w:tblGrid>
      <w:gridCol w:w="5549"/>
      <w:gridCol w:w="2979"/>
    </w:tblGrid>
    <w:tr w:rsidR="008E7BE3" w:rsidRPr="0079133C" w14:paraId="744DECED" w14:textId="77777777" w:rsidTr="00070BBA">
      <w:tc>
        <w:tcPr>
          <w:tcW w:w="6062" w:type="dxa"/>
          <w:vMerge w:val="restart"/>
        </w:tcPr>
        <w:p w14:paraId="744DECEB" w14:textId="77777777" w:rsidR="008E7BE3" w:rsidRDefault="008E7BE3" w:rsidP="00070BBA">
          <w:pPr>
            <w:pStyle w:val="Header"/>
            <w:tabs>
              <w:tab w:val="clear" w:pos="4153"/>
              <w:tab w:val="clear" w:pos="8306"/>
              <w:tab w:val="center" w:pos="2923"/>
            </w:tabs>
          </w:pPr>
          <w:r>
            <w:rPr>
              <w:rFonts w:cs="Arial"/>
              <w:noProof/>
              <w:sz w:val="44"/>
              <w:szCs w:val="44"/>
            </w:rPr>
            <w:drawing>
              <wp:inline distT="0" distB="0" distL="0" distR="0" wp14:anchorId="744DECF8" wp14:editId="744DECF9">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79133C">
            <w:rPr>
              <w:rFonts w:cs="Arial"/>
              <w:sz w:val="44"/>
              <w:szCs w:val="44"/>
            </w:rPr>
            <w:tab/>
          </w:r>
        </w:p>
      </w:tc>
      <w:tc>
        <w:tcPr>
          <w:tcW w:w="3225" w:type="dxa"/>
        </w:tcPr>
        <w:p w14:paraId="744DECEC" w14:textId="77777777" w:rsidR="008E7BE3" w:rsidRPr="0079133C" w:rsidRDefault="008E7BE3" w:rsidP="00070BBA">
          <w:pPr>
            <w:pStyle w:val="Header"/>
            <w:rPr>
              <w:b/>
            </w:rPr>
          </w:pPr>
          <w:r>
            <w:rPr>
              <w:rFonts w:cs="Arial"/>
              <w:b/>
              <w:szCs w:val="24"/>
            </w:rPr>
            <w:t>LGA Leadership Board</w:t>
          </w:r>
        </w:p>
      </w:tc>
    </w:tr>
    <w:tr w:rsidR="008E7BE3" w14:paraId="744DECF0" w14:textId="77777777" w:rsidTr="00070BBA">
      <w:trPr>
        <w:trHeight w:val="450"/>
      </w:trPr>
      <w:tc>
        <w:tcPr>
          <w:tcW w:w="6062" w:type="dxa"/>
          <w:vMerge/>
        </w:tcPr>
        <w:p w14:paraId="744DECEE" w14:textId="77777777" w:rsidR="008E7BE3" w:rsidRDefault="008E7BE3" w:rsidP="00070BBA">
          <w:pPr>
            <w:pStyle w:val="Header"/>
          </w:pPr>
        </w:p>
      </w:tc>
      <w:tc>
        <w:tcPr>
          <w:tcW w:w="3225" w:type="dxa"/>
        </w:tcPr>
        <w:p w14:paraId="744DECEF" w14:textId="77777777" w:rsidR="008E7BE3" w:rsidRPr="0040249C" w:rsidRDefault="008E7BE3" w:rsidP="00070BBA">
          <w:pPr>
            <w:pStyle w:val="Header"/>
            <w:spacing w:before="60"/>
            <w:rPr>
              <w:rFonts w:cs="Arial"/>
            </w:rPr>
          </w:pPr>
          <w:r>
            <w:rPr>
              <w:rFonts w:cs="Arial"/>
            </w:rPr>
            <w:t>11 January 2012</w:t>
          </w:r>
        </w:p>
      </w:tc>
    </w:tr>
    <w:tr w:rsidR="008E7BE3" w14:paraId="744DECF4" w14:textId="77777777" w:rsidTr="00070BBA">
      <w:trPr>
        <w:trHeight w:val="450"/>
      </w:trPr>
      <w:tc>
        <w:tcPr>
          <w:tcW w:w="6062" w:type="dxa"/>
          <w:vMerge/>
        </w:tcPr>
        <w:p w14:paraId="744DECF1" w14:textId="77777777" w:rsidR="008E7BE3" w:rsidRDefault="008E7BE3" w:rsidP="00070BBA">
          <w:pPr>
            <w:pStyle w:val="Header"/>
          </w:pPr>
        </w:p>
      </w:tc>
      <w:tc>
        <w:tcPr>
          <w:tcW w:w="3225" w:type="dxa"/>
        </w:tcPr>
        <w:p w14:paraId="744DECF2" w14:textId="77777777" w:rsidR="008E7BE3" w:rsidRPr="0079133C" w:rsidRDefault="008E7BE3" w:rsidP="00070BBA">
          <w:pPr>
            <w:pStyle w:val="Header"/>
            <w:spacing w:before="60"/>
            <w:rPr>
              <w:rFonts w:cs="Arial"/>
              <w:b/>
              <w:szCs w:val="24"/>
            </w:rPr>
          </w:pPr>
        </w:p>
        <w:p w14:paraId="744DECF3" w14:textId="77777777" w:rsidR="008E7BE3" w:rsidRPr="0079133C" w:rsidRDefault="008E7BE3" w:rsidP="00070BBA">
          <w:pPr>
            <w:pStyle w:val="Header"/>
            <w:spacing w:before="60"/>
            <w:rPr>
              <w:rFonts w:cs="Arial"/>
              <w:b/>
              <w:szCs w:val="24"/>
            </w:rPr>
          </w:pPr>
          <w:r w:rsidRPr="0079133C">
            <w:rPr>
              <w:rFonts w:cs="Arial"/>
              <w:b/>
              <w:szCs w:val="24"/>
            </w:rPr>
            <w:t xml:space="preserve">Item </w:t>
          </w:r>
          <w:r>
            <w:rPr>
              <w:rFonts w:cs="Arial"/>
              <w:b/>
              <w:szCs w:val="24"/>
            </w:rPr>
            <w:t>2</w:t>
          </w:r>
        </w:p>
      </w:tc>
    </w:tr>
  </w:tbl>
  <w:p w14:paraId="744DECF5" w14:textId="77777777" w:rsidR="008E7BE3" w:rsidRDefault="008E7BE3" w:rsidP="00070BB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806"/>
    <w:multiLevelType w:val="hybridMultilevel"/>
    <w:tmpl w:val="C5D87A6E"/>
    <w:lvl w:ilvl="0" w:tplc="3152A004">
      <w:start w:val="1"/>
      <w:numFmt w:val="bullet"/>
      <w:pStyle w:val="ListParagraph"/>
      <w:lvlText w:val=""/>
      <w:lvlJc w:val="left"/>
      <w:pPr>
        <w:ind w:left="360" w:hanging="360"/>
      </w:pPr>
      <w:rPr>
        <w:rFonts w:ascii="Symbol" w:hAnsi="Symbol" w:hint="default"/>
        <w:color w:val="4F81B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375B4"/>
    <w:multiLevelType w:val="hybridMultilevel"/>
    <w:tmpl w:val="8B5CC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D1552"/>
    <w:multiLevelType w:val="hybridMultilevel"/>
    <w:tmpl w:val="487E5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167EE"/>
    <w:multiLevelType w:val="hybridMultilevel"/>
    <w:tmpl w:val="4E801AF4"/>
    <w:lvl w:ilvl="0" w:tplc="8CCE35B8">
      <w:start w:val="1"/>
      <w:numFmt w:val="decimal"/>
      <w:lvlText w:val="%1."/>
      <w:lvlJc w:val="righ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26652"/>
    <w:multiLevelType w:val="hybridMultilevel"/>
    <w:tmpl w:val="289A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65DBA"/>
    <w:multiLevelType w:val="hybridMultilevel"/>
    <w:tmpl w:val="F8325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DB0954"/>
    <w:multiLevelType w:val="multilevel"/>
    <w:tmpl w:val="EB6E9F8A"/>
    <w:lvl w:ilvl="0">
      <w:start w:val="1"/>
      <w:numFmt w:val="decimal"/>
      <w:lvlText w:val="%1."/>
      <w:lvlJc w:val="left"/>
      <w:pPr>
        <w:ind w:left="360" w:hanging="360"/>
      </w:pPr>
      <w:rPr>
        <w:rFonts w:hint="default"/>
        <w:b w:val="0"/>
      </w:rPr>
    </w:lvl>
    <w:lvl w:ilvl="1">
      <w:start w:val="1"/>
      <w:numFmt w:val="decimal"/>
      <w:lvlText w:val="%1.%2."/>
      <w:lvlJc w:val="left"/>
      <w:pPr>
        <w:ind w:left="1134" w:hanging="794"/>
      </w:pPr>
      <w:rPr>
        <w:rFonts w:hint="default"/>
        <w:b w:val="0"/>
      </w:rPr>
    </w:lvl>
    <w:lvl w:ilvl="2">
      <w:start w:val="1"/>
      <w:numFmt w:val="decimal"/>
      <w:lvlText w:val="%1.%2.%3."/>
      <w:lvlJc w:val="left"/>
      <w:pPr>
        <w:ind w:left="1588"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9A6D09"/>
    <w:multiLevelType w:val="hybridMultilevel"/>
    <w:tmpl w:val="A7D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4"/>
  </w:num>
  <w:num w:numId="7">
    <w:abstractNumId w:val="3"/>
  </w:num>
  <w:num w:numId="8">
    <w:abstractNumId w:val="6"/>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D4"/>
    <w:rsid w:val="00000973"/>
    <w:rsid w:val="00001EEF"/>
    <w:rsid w:val="00003724"/>
    <w:rsid w:val="00016CE0"/>
    <w:rsid w:val="00022FA1"/>
    <w:rsid w:val="000307E2"/>
    <w:rsid w:val="00031A04"/>
    <w:rsid w:val="00031F05"/>
    <w:rsid w:val="000445A6"/>
    <w:rsid w:val="00064003"/>
    <w:rsid w:val="00070BBA"/>
    <w:rsid w:val="00072926"/>
    <w:rsid w:val="00083B21"/>
    <w:rsid w:val="000854DC"/>
    <w:rsid w:val="00086B14"/>
    <w:rsid w:val="00090885"/>
    <w:rsid w:val="0009591E"/>
    <w:rsid w:val="000A5512"/>
    <w:rsid w:val="000A6F43"/>
    <w:rsid w:val="000B1C5D"/>
    <w:rsid w:val="000C1CA2"/>
    <w:rsid w:val="000C2037"/>
    <w:rsid w:val="000C34B2"/>
    <w:rsid w:val="000C3E1A"/>
    <w:rsid w:val="000C3F96"/>
    <w:rsid w:val="000D1258"/>
    <w:rsid w:val="000D7F59"/>
    <w:rsid w:val="000E01D9"/>
    <w:rsid w:val="000E2FD4"/>
    <w:rsid w:val="000E30F4"/>
    <w:rsid w:val="000E689B"/>
    <w:rsid w:val="000F33B2"/>
    <w:rsid w:val="000F5978"/>
    <w:rsid w:val="000F7CF6"/>
    <w:rsid w:val="0010552B"/>
    <w:rsid w:val="00113FDB"/>
    <w:rsid w:val="00120853"/>
    <w:rsid w:val="001248E7"/>
    <w:rsid w:val="00125A6E"/>
    <w:rsid w:val="00132EE8"/>
    <w:rsid w:val="00135629"/>
    <w:rsid w:val="001361C1"/>
    <w:rsid w:val="00136D69"/>
    <w:rsid w:val="00142356"/>
    <w:rsid w:val="00144B26"/>
    <w:rsid w:val="00171BC6"/>
    <w:rsid w:val="00171D54"/>
    <w:rsid w:val="0017418D"/>
    <w:rsid w:val="0018136A"/>
    <w:rsid w:val="00181537"/>
    <w:rsid w:val="001912EC"/>
    <w:rsid w:val="001918DA"/>
    <w:rsid w:val="00195018"/>
    <w:rsid w:val="00196DF5"/>
    <w:rsid w:val="001A0961"/>
    <w:rsid w:val="001A5B58"/>
    <w:rsid w:val="001A61FF"/>
    <w:rsid w:val="001A6C3C"/>
    <w:rsid w:val="001B516A"/>
    <w:rsid w:val="001C68A6"/>
    <w:rsid w:val="001D1D04"/>
    <w:rsid w:val="001D3345"/>
    <w:rsid w:val="001E36DF"/>
    <w:rsid w:val="001E4EEB"/>
    <w:rsid w:val="001E7A3D"/>
    <w:rsid w:val="001F5263"/>
    <w:rsid w:val="001F7103"/>
    <w:rsid w:val="002016D8"/>
    <w:rsid w:val="00203FB8"/>
    <w:rsid w:val="00206688"/>
    <w:rsid w:val="002067FA"/>
    <w:rsid w:val="00207659"/>
    <w:rsid w:val="00207F92"/>
    <w:rsid w:val="002116A1"/>
    <w:rsid w:val="0021265E"/>
    <w:rsid w:val="0021653A"/>
    <w:rsid w:val="00221E9B"/>
    <w:rsid w:val="00221FA5"/>
    <w:rsid w:val="00227254"/>
    <w:rsid w:val="002373E0"/>
    <w:rsid w:val="00242808"/>
    <w:rsid w:val="00251E8B"/>
    <w:rsid w:val="002540CC"/>
    <w:rsid w:val="00257DA7"/>
    <w:rsid w:val="00262765"/>
    <w:rsid w:val="0026395A"/>
    <w:rsid w:val="00266C2B"/>
    <w:rsid w:val="0027170A"/>
    <w:rsid w:val="002736D1"/>
    <w:rsid w:val="00273A34"/>
    <w:rsid w:val="00273D98"/>
    <w:rsid w:val="00274008"/>
    <w:rsid w:val="00275042"/>
    <w:rsid w:val="0027660F"/>
    <w:rsid w:val="00277344"/>
    <w:rsid w:val="00283B3B"/>
    <w:rsid w:val="00284F38"/>
    <w:rsid w:val="002A3893"/>
    <w:rsid w:val="002A469F"/>
    <w:rsid w:val="002A61A9"/>
    <w:rsid w:val="002B0086"/>
    <w:rsid w:val="002B0221"/>
    <w:rsid w:val="002B041B"/>
    <w:rsid w:val="002B080F"/>
    <w:rsid w:val="002B7A13"/>
    <w:rsid w:val="002B7F7E"/>
    <w:rsid w:val="002C158B"/>
    <w:rsid w:val="002D0C02"/>
    <w:rsid w:val="002E237F"/>
    <w:rsid w:val="002E6E68"/>
    <w:rsid w:val="002F0BA0"/>
    <w:rsid w:val="002F1605"/>
    <w:rsid w:val="002F23F5"/>
    <w:rsid w:val="002F26C6"/>
    <w:rsid w:val="002F28DC"/>
    <w:rsid w:val="002F2D92"/>
    <w:rsid w:val="002F6E0E"/>
    <w:rsid w:val="003152BE"/>
    <w:rsid w:val="003169E1"/>
    <w:rsid w:val="0032217B"/>
    <w:rsid w:val="00327554"/>
    <w:rsid w:val="00332D6E"/>
    <w:rsid w:val="00335C4E"/>
    <w:rsid w:val="00340407"/>
    <w:rsid w:val="00341877"/>
    <w:rsid w:val="00353716"/>
    <w:rsid w:val="00361AA7"/>
    <w:rsid w:val="00365948"/>
    <w:rsid w:val="00367EAF"/>
    <w:rsid w:val="00367F69"/>
    <w:rsid w:val="00374A8B"/>
    <w:rsid w:val="00375926"/>
    <w:rsid w:val="0037618F"/>
    <w:rsid w:val="00387C15"/>
    <w:rsid w:val="00390C55"/>
    <w:rsid w:val="003A3E30"/>
    <w:rsid w:val="003B0C9E"/>
    <w:rsid w:val="003B0DDF"/>
    <w:rsid w:val="003B3EAE"/>
    <w:rsid w:val="003B51ED"/>
    <w:rsid w:val="003C0EF4"/>
    <w:rsid w:val="003C68D7"/>
    <w:rsid w:val="003D0F57"/>
    <w:rsid w:val="003D3B64"/>
    <w:rsid w:val="003D5EBC"/>
    <w:rsid w:val="003D717C"/>
    <w:rsid w:val="003E34AB"/>
    <w:rsid w:val="003E4AE1"/>
    <w:rsid w:val="003E588A"/>
    <w:rsid w:val="003F0044"/>
    <w:rsid w:val="003F07C9"/>
    <w:rsid w:val="00401A97"/>
    <w:rsid w:val="0040282E"/>
    <w:rsid w:val="00405E2D"/>
    <w:rsid w:val="0041394D"/>
    <w:rsid w:val="004159F6"/>
    <w:rsid w:val="0041696F"/>
    <w:rsid w:val="00425C04"/>
    <w:rsid w:val="0043377A"/>
    <w:rsid w:val="00433AE0"/>
    <w:rsid w:val="00437563"/>
    <w:rsid w:val="00443AEB"/>
    <w:rsid w:val="0045016E"/>
    <w:rsid w:val="00451CCD"/>
    <w:rsid w:val="00454211"/>
    <w:rsid w:val="00467D63"/>
    <w:rsid w:val="0047557D"/>
    <w:rsid w:val="00480986"/>
    <w:rsid w:val="00480A9F"/>
    <w:rsid w:val="00481AB6"/>
    <w:rsid w:val="00483515"/>
    <w:rsid w:val="0048604E"/>
    <w:rsid w:val="004924A3"/>
    <w:rsid w:val="00493B8A"/>
    <w:rsid w:val="004969D8"/>
    <w:rsid w:val="004A344B"/>
    <w:rsid w:val="004B269B"/>
    <w:rsid w:val="004B76AB"/>
    <w:rsid w:val="004B7ECA"/>
    <w:rsid w:val="004C1236"/>
    <w:rsid w:val="004C54EB"/>
    <w:rsid w:val="004D3BAE"/>
    <w:rsid w:val="004E0F5A"/>
    <w:rsid w:val="004E445C"/>
    <w:rsid w:val="004E6A46"/>
    <w:rsid w:val="004E7216"/>
    <w:rsid w:val="004F3B86"/>
    <w:rsid w:val="004F4852"/>
    <w:rsid w:val="00500915"/>
    <w:rsid w:val="00505ACB"/>
    <w:rsid w:val="00507ED2"/>
    <w:rsid w:val="0051335A"/>
    <w:rsid w:val="005233CA"/>
    <w:rsid w:val="005236EF"/>
    <w:rsid w:val="005260BC"/>
    <w:rsid w:val="005305B4"/>
    <w:rsid w:val="0053063B"/>
    <w:rsid w:val="00543F25"/>
    <w:rsid w:val="00545C15"/>
    <w:rsid w:val="005547B7"/>
    <w:rsid w:val="00556DFD"/>
    <w:rsid w:val="00556EEB"/>
    <w:rsid w:val="00565BBC"/>
    <w:rsid w:val="005706B0"/>
    <w:rsid w:val="00580EDF"/>
    <w:rsid w:val="00583BB5"/>
    <w:rsid w:val="0058783C"/>
    <w:rsid w:val="005909AA"/>
    <w:rsid w:val="0059744F"/>
    <w:rsid w:val="005A6D92"/>
    <w:rsid w:val="005C2954"/>
    <w:rsid w:val="005C5204"/>
    <w:rsid w:val="005C7817"/>
    <w:rsid w:val="005D2BD3"/>
    <w:rsid w:val="005D395A"/>
    <w:rsid w:val="005F7601"/>
    <w:rsid w:val="00600F7C"/>
    <w:rsid w:val="0060524C"/>
    <w:rsid w:val="00606869"/>
    <w:rsid w:val="00611E7A"/>
    <w:rsid w:val="00612656"/>
    <w:rsid w:val="00624C2B"/>
    <w:rsid w:val="00624D37"/>
    <w:rsid w:val="006356AE"/>
    <w:rsid w:val="00655603"/>
    <w:rsid w:val="00660F6D"/>
    <w:rsid w:val="006618B7"/>
    <w:rsid w:val="006647FF"/>
    <w:rsid w:val="00664CD7"/>
    <w:rsid w:val="00670BD5"/>
    <w:rsid w:val="0067257A"/>
    <w:rsid w:val="00695969"/>
    <w:rsid w:val="00696CCA"/>
    <w:rsid w:val="006A54F7"/>
    <w:rsid w:val="006A5742"/>
    <w:rsid w:val="006A71DD"/>
    <w:rsid w:val="006A7D38"/>
    <w:rsid w:val="006B6647"/>
    <w:rsid w:val="006C09DE"/>
    <w:rsid w:val="006C0CCE"/>
    <w:rsid w:val="006C3D36"/>
    <w:rsid w:val="006C4CB7"/>
    <w:rsid w:val="006D058D"/>
    <w:rsid w:val="006D733B"/>
    <w:rsid w:val="006E0180"/>
    <w:rsid w:val="006E0BA7"/>
    <w:rsid w:val="006E4D91"/>
    <w:rsid w:val="006E5C6A"/>
    <w:rsid w:val="006E608D"/>
    <w:rsid w:val="006E661D"/>
    <w:rsid w:val="006F0222"/>
    <w:rsid w:val="006F2891"/>
    <w:rsid w:val="006F37C7"/>
    <w:rsid w:val="006F7E5F"/>
    <w:rsid w:val="00700CEE"/>
    <w:rsid w:val="007227D2"/>
    <w:rsid w:val="0072441A"/>
    <w:rsid w:val="00734AF9"/>
    <w:rsid w:val="00737A40"/>
    <w:rsid w:val="007434DF"/>
    <w:rsid w:val="00744703"/>
    <w:rsid w:val="007447E2"/>
    <w:rsid w:val="007516CD"/>
    <w:rsid w:val="007525A5"/>
    <w:rsid w:val="007527A8"/>
    <w:rsid w:val="00752F13"/>
    <w:rsid w:val="00753A9D"/>
    <w:rsid w:val="00755679"/>
    <w:rsid w:val="00762FFA"/>
    <w:rsid w:val="007677B0"/>
    <w:rsid w:val="007730CA"/>
    <w:rsid w:val="00773DFE"/>
    <w:rsid w:val="0077422C"/>
    <w:rsid w:val="00775B87"/>
    <w:rsid w:val="0078260F"/>
    <w:rsid w:val="007829A6"/>
    <w:rsid w:val="007877ED"/>
    <w:rsid w:val="00787F44"/>
    <w:rsid w:val="007919A8"/>
    <w:rsid w:val="007953BD"/>
    <w:rsid w:val="00795AEF"/>
    <w:rsid w:val="007A00A6"/>
    <w:rsid w:val="007A2983"/>
    <w:rsid w:val="007B1B66"/>
    <w:rsid w:val="007B2CBC"/>
    <w:rsid w:val="007B2D93"/>
    <w:rsid w:val="007C4E80"/>
    <w:rsid w:val="007C505B"/>
    <w:rsid w:val="007D3099"/>
    <w:rsid w:val="007D3396"/>
    <w:rsid w:val="007D692C"/>
    <w:rsid w:val="007F67F7"/>
    <w:rsid w:val="00801D2D"/>
    <w:rsid w:val="00803468"/>
    <w:rsid w:val="00803E6F"/>
    <w:rsid w:val="00812E30"/>
    <w:rsid w:val="00817CFC"/>
    <w:rsid w:val="0084044A"/>
    <w:rsid w:val="00844967"/>
    <w:rsid w:val="00850DE9"/>
    <w:rsid w:val="00853A09"/>
    <w:rsid w:val="00855A45"/>
    <w:rsid w:val="00861232"/>
    <w:rsid w:val="008629A4"/>
    <w:rsid w:val="00865ACB"/>
    <w:rsid w:val="008716D4"/>
    <w:rsid w:val="0087439B"/>
    <w:rsid w:val="0087493D"/>
    <w:rsid w:val="008758BC"/>
    <w:rsid w:val="0087716F"/>
    <w:rsid w:val="00880FAE"/>
    <w:rsid w:val="008871E4"/>
    <w:rsid w:val="008910EF"/>
    <w:rsid w:val="00892064"/>
    <w:rsid w:val="00892D3A"/>
    <w:rsid w:val="00892DE6"/>
    <w:rsid w:val="00894B2F"/>
    <w:rsid w:val="00894FBC"/>
    <w:rsid w:val="008A65F5"/>
    <w:rsid w:val="008B0247"/>
    <w:rsid w:val="008B1735"/>
    <w:rsid w:val="008B2A69"/>
    <w:rsid w:val="008C22C6"/>
    <w:rsid w:val="008C2DDE"/>
    <w:rsid w:val="008C498C"/>
    <w:rsid w:val="008D211F"/>
    <w:rsid w:val="008D3C9A"/>
    <w:rsid w:val="008D68F2"/>
    <w:rsid w:val="008E50B0"/>
    <w:rsid w:val="008E6760"/>
    <w:rsid w:val="008E7BE3"/>
    <w:rsid w:val="008F0A82"/>
    <w:rsid w:val="008F3FDC"/>
    <w:rsid w:val="008F5CB0"/>
    <w:rsid w:val="008F6BC9"/>
    <w:rsid w:val="00901C69"/>
    <w:rsid w:val="00906E52"/>
    <w:rsid w:val="00913581"/>
    <w:rsid w:val="0092177E"/>
    <w:rsid w:val="009263AD"/>
    <w:rsid w:val="009267BF"/>
    <w:rsid w:val="009334D2"/>
    <w:rsid w:val="009438B8"/>
    <w:rsid w:val="009453A2"/>
    <w:rsid w:val="00952339"/>
    <w:rsid w:val="00960447"/>
    <w:rsid w:val="00972EBE"/>
    <w:rsid w:val="00973B17"/>
    <w:rsid w:val="00980EAE"/>
    <w:rsid w:val="00985CF3"/>
    <w:rsid w:val="009874AB"/>
    <w:rsid w:val="00994130"/>
    <w:rsid w:val="009957BA"/>
    <w:rsid w:val="009B00F0"/>
    <w:rsid w:val="009B1852"/>
    <w:rsid w:val="009B6CF8"/>
    <w:rsid w:val="009D02F3"/>
    <w:rsid w:val="009D19B0"/>
    <w:rsid w:val="009D3009"/>
    <w:rsid w:val="009D5C50"/>
    <w:rsid w:val="009D6BD1"/>
    <w:rsid w:val="009D7749"/>
    <w:rsid w:val="009E0221"/>
    <w:rsid w:val="009E0EF3"/>
    <w:rsid w:val="009E1C0C"/>
    <w:rsid w:val="009E3B5A"/>
    <w:rsid w:val="009E5712"/>
    <w:rsid w:val="009F002E"/>
    <w:rsid w:val="009F669D"/>
    <w:rsid w:val="009F6AB9"/>
    <w:rsid w:val="00A017EF"/>
    <w:rsid w:val="00A01EE1"/>
    <w:rsid w:val="00A112ED"/>
    <w:rsid w:val="00A131C4"/>
    <w:rsid w:val="00A145A5"/>
    <w:rsid w:val="00A22B1A"/>
    <w:rsid w:val="00A259B1"/>
    <w:rsid w:val="00A314FF"/>
    <w:rsid w:val="00A44BC0"/>
    <w:rsid w:val="00A44CDD"/>
    <w:rsid w:val="00A4609F"/>
    <w:rsid w:val="00A55331"/>
    <w:rsid w:val="00A55D8C"/>
    <w:rsid w:val="00A57EA0"/>
    <w:rsid w:val="00A71DAA"/>
    <w:rsid w:val="00A805DF"/>
    <w:rsid w:val="00A816C7"/>
    <w:rsid w:val="00AA14AE"/>
    <w:rsid w:val="00AA3910"/>
    <w:rsid w:val="00AB036A"/>
    <w:rsid w:val="00AB0F8E"/>
    <w:rsid w:val="00AB1EA0"/>
    <w:rsid w:val="00AB4083"/>
    <w:rsid w:val="00AB5E8E"/>
    <w:rsid w:val="00AC1D92"/>
    <w:rsid w:val="00AC4DD5"/>
    <w:rsid w:val="00AD031E"/>
    <w:rsid w:val="00AD34B4"/>
    <w:rsid w:val="00AD610C"/>
    <w:rsid w:val="00AE111E"/>
    <w:rsid w:val="00AE2220"/>
    <w:rsid w:val="00AF1A89"/>
    <w:rsid w:val="00AF746D"/>
    <w:rsid w:val="00B001F4"/>
    <w:rsid w:val="00B01FE9"/>
    <w:rsid w:val="00B034FF"/>
    <w:rsid w:val="00B036A5"/>
    <w:rsid w:val="00B076DE"/>
    <w:rsid w:val="00B07D0C"/>
    <w:rsid w:val="00B1146E"/>
    <w:rsid w:val="00B124D4"/>
    <w:rsid w:val="00B141B0"/>
    <w:rsid w:val="00B259F5"/>
    <w:rsid w:val="00B30CF4"/>
    <w:rsid w:val="00B34FC3"/>
    <w:rsid w:val="00B36FDD"/>
    <w:rsid w:val="00B40C78"/>
    <w:rsid w:val="00B4666A"/>
    <w:rsid w:val="00B50370"/>
    <w:rsid w:val="00B52D86"/>
    <w:rsid w:val="00B61B4A"/>
    <w:rsid w:val="00B61D2E"/>
    <w:rsid w:val="00B63C4F"/>
    <w:rsid w:val="00B702BC"/>
    <w:rsid w:val="00B70799"/>
    <w:rsid w:val="00B71D46"/>
    <w:rsid w:val="00B72CB0"/>
    <w:rsid w:val="00B814E4"/>
    <w:rsid w:val="00B815F9"/>
    <w:rsid w:val="00B92DEC"/>
    <w:rsid w:val="00B9679E"/>
    <w:rsid w:val="00BA08BD"/>
    <w:rsid w:val="00BA37B6"/>
    <w:rsid w:val="00BB049E"/>
    <w:rsid w:val="00BB18FE"/>
    <w:rsid w:val="00BB43AE"/>
    <w:rsid w:val="00BB7106"/>
    <w:rsid w:val="00BC2EE9"/>
    <w:rsid w:val="00BD0CC9"/>
    <w:rsid w:val="00BD35BD"/>
    <w:rsid w:val="00BD4F76"/>
    <w:rsid w:val="00BD69D5"/>
    <w:rsid w:val="00BE3C88"/>
    <w:rsid w:val="00BF0A90"/>
    <w:rsid w:val="00BF2DC8"/>
    <w:rsid w:val="00BF43EB"/>
    <w:rsid w:val="00BF70AD"/>
    <w:rsid w:val="00C005C9"/>
    <w:rsid w:val="00C02891"/>
    <w:rsid w:val="00C03731"/>
    <w:rsid w:val="00C12A5B"/>
    <w:rsid w:val="00C170BB"/>
    <w:rsid w:val="00C20C86"/>
    <w:rsid w:val="00C2671D"/>
    <w:rsid w:val="00C271F7"/>
    <w:rsid w:val="00C33343"/>
    <w:rsid w:val="00C403DE"/>
    <w:rsid w:val="00C44A88"/>
    <w:rsid w:val="00C45E85"/>
    <w:rsid w:val="00C467E3"/>
    <w:rsid w:val="00C51B08"/>
    <w:rsid w:val="00C662BB"/>
    <w:rsid w:val="00C758B1"/>
    <w:rsid w:val="00C804CC"/>
    <w:rsid w:val="00CA473C"/>
    <w:rsid w:val="00CA4945"/>
    <w:rsid w:val="00CA54F4"/>
    <w:rsid w:val="00CB2B65"/>
    <w:rsid w:val="00CB4491"/>
    <w:rsid w:val="00CB53A8"/>
    <w:rsid w:val="00CC214D"/>
    <w:rsid w:val="00CC3D1D"/>
    <w:rsid w:val="00CC561C"/>
    <w:rsid w:val="00CC6E63"/>
    <w:rsid w:val="00CC76F1"/>
    <w:rsid w:val="00CD2AB1"/>
    <w:rsid w:val="00CE2BD6"/>
    <w:rsid w:val="00CF1D8B"/>
    <w:rsid w:val="00CF45E5"/>
    <w:rsid w:val="00D02A74"/>
    <w:rsid w:val="00D05F71"/>
    <w:rsid w:val="00D06A5D"/>
    <w:rsid w:val="00D070E3"/>
    <w:rsid w:val="00D11B78"/>
    <w:rsid w:val="00D14912"/>
    <w:rsid w:val="00D172EB"/>
    <w:rsid w:val="00D173A6"/>
    <w:rsid w:val="00D17705"/>
    <w:rsid w:val="00D22159"/>
    <w:rsid w:val="00D31D11"/>
    <w:rsid w:val="00D32665"/>
    <w:rsid w:val="00D43C98"/>
    <w:rsid w:val="00D4450E"/>
    <w:rsid w:val="00D47A8B"/>
    <w:rsid w:val="00D47D24"/>
    <w:rsid w:val="00D51440"/>
    <w:rsid w:val="00D53172"/>
    <w:rsid w:val="00D55938"/>
    <w:rsid w:val="00D618FF"/>
    <w:rsid w:val="00D64812"/>
    <w:rsid w:val="00D649C2"/>
    <w:rsid w:val="00D67574"/>
    <w:rsid w:val="00D714A4"/>
    <w:rsid w:val="00D72D0B"/>
    <w:rsid w:val="00D74AAE"/>
    <w:rsid w:val="00D8124E"/>
    <w:rsid w:val="00D827FD"/>
    <w:rsid w:val="00D959DB"/>
    <w:rsid w:val="00DB3435"/>
    <w:rsid w:val="00DB45E5"/>
    <w:rsid w:val="00DB7776"/>
    <w:rsid w:val="00DC2A96"/>
    <w:rsid w:val="00DC654B"/>
    <w:rsid w:val="00DC7433"/>
    <w:rsid w:val="00DD1D63"/>
    <w:rsid w:val="00DD77D1"/>
    <w:rsid w:val="00DD78A8"/>
    <w:rsid w:val="00DE3BB9"/>
    <w:rsid w:val="00DE4842"/>
    <w:rsid w:val="00DE7631"/>
    <w:rsid w:val="00DE782F"/>
    <w:rsid w:val="00DF5930"/>
    <w:rsid w:val="00DF595E"/>
    <w:rsid w:val="00E016C4"/>
    <w:rsid w:val="00E04509"/>
    <w:rsid w:val="00E05351"/>
    <w:rsid w:val="00E103A5"/>
    <w:rsid w:val="00E178A0"/>
    <w:rsid w:val="00E17D44"/>
    <w:rsid w:val="00E23398"/>
    <w:rsid w:val="00E30F58"/>
    <w:rsid w:val="00E31031"/>
    <w:rsid w:val="00E34FB8"/>
    <w:rsid w:val="00E43E9D"/>
    <w:rsid w:val="00E44267"/>
    <w:rsid w:val="00E460F3"/>
    <w:rsid w:val="00E4754E"/>
    <w:rsid w:val="00E52DBD"/>
    <w:rsid w:val="00E5388C"/>
    <w:rsid w:val="00E572F7"/>
    <w:rsid w:val="00E60B1F"/>
    <w:rsid w:val="00E660F7"/>
    <w:rsid w:val="00E71926"/>
    <w:rsid w:val="00E75AF7"/>
    <w:rsid w:val="00E7761C"/>
    <w:rsid w:val="00E77A8B"/>
    <w:rsid w:val="00E82DE1"/>
    <w:rsid w:val="00E83346"/>
    <w:rsid w:val="00E853E7"/>
    <w:rsid w:val="00E86D5A"/>
    <w:rsid w:val="00E912BF"/>
    <w:rsid w:val="00E946D8"/>
    <w:rsid w:val="00E960C8"/>
    <w:rsid w:val="00E96871"/>
    <w:rsid w:val="00EA1CE5"/>
    <w:rsid w:val="00EA45BB"/>
    <w:rsid w:val="00EA70B7"/>
    <w:rsid w:val="00EB18CA"/>
    <w:rsid w:val="00EB6D8A"/>
    <w:rsid w:val="00EC254B"/>
    <w:rsid w:val="00EC5ACD"/>
    <w:rsid w:val="00EC63EB"/>
    <w:rsid w:val="00ED0787"/>
    <w:rsid w:val="00ED33F6"/>
    <w:rsid w:val="00ED7C31"/>
    <w:rsid w:val="00ED7C5A"/>
    <w:rsid w:val="00EE2C6A"/>
    <w:rsid w:val="00EE45E9"/>
    <w:rsid w:val="00EF2438"/>
    <w:rsid w:val="00EF53F3"/>
    <w:rsid w:val="00EF757A"/>
    <w:rsid w:val="00F14958"/>
    <w:rsid w:val="00F15FC7"/>
    <w:rsid w:val="00F162AD"/>
    <w:rsid w:val="00F21D9B"/>
    <w:rsid w:val="00F26A15"/>
    <w:rsid w:val="00F366BC"/>
    <w:rsid w:val="00F36A7A"/>
    <w:rsid w:val="00F419EC"/>
    <w:rsid w:val="00F42691"/>
    <w:rsid w:val="00F42740"/>
    <w:rsid w:val="00F452EA"/>
    <w:rsid w:val="00F512A5"/>
    <w:rsid w:val="00F551D4"/>
    <w:rsid w:val="00F61070"/>
    <w:rsid w:val="00F634D7"/>
    <w:rsid w:val="00F654B9"/>
    <w:rsid w:val="00F65893"/>
    <w:rsid w:val="00F66236"/>
    <w:rsid w:val="00F66436"/>
    <w:rsid w:val="00F73A80"/>
    <w:rsid w:val="00F73D29"/>
    <w:rsid w:val="00F75557"/>
    <w:rsid w:val="00F820D3"/>
    <w:rsid w:val="00F833C5"/>
    <w:rsid w:val="00F91E4D"/>
    <w:rsid w:val="00F975BA"/>
    <w:rsid w:val="00FA0D01"/>
    <w:rsid w:val="00FA11E6"/>
    <w:rsid w:val="00FA5B55"/>
    <w:rsid w:val="00FB5F8F"/>
    <w:rsid w:val="00FB6A71"/>
    <w:rsid w:val="00FB6C9A"/>
    <w:rsid w:val="00FC4C4C"/>
    <w:rsid w:val="00FC6820"/>
    <w:rsid w:val="00FC6F97"/>
    <w:rsid w:val="00FD0624"/>
    <w:rsid w:val="00FD13D9"/>
    <w:rsid w:val="00FD632F"/>
    <w:rsid w:val="00FD76B3"/>
    <w:rsid w:val="00FE453F"/>
    <w:rsid w:val="00FE55E0"/>
    <w:rsid w:val="00FE796F"/>
    <w:rsid w:val="00FF27E4"/>
    <w:rsid w:val="00FF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DEAF3"/>
  <w15:docId w15:val="{0669A17A-A15A-4CE7-8DB3-E7157359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26"/>
    <w:rPr>
      <w:rFonts w:ascii="Arial" w:hAnsi="Arial"/>
      <w:sz w:val="24"/>
    </w:rPr>
  </w:style>
  <w:style w:type="paragraph" w:styleId="Heading1">
    <w:name w:val="heading 1"/>
    <w:aliases w:val="F8 Main Heading"/>
    <w:basedOn w:val="Normal"/>
    <w:next w:val="Normal"/>
    <w:link w:val="Heading1Char"/>
    <w:qFormat/>
    <w:rsid w:val="006356AE"/>
    <w:pPr>
      <w:keepNext/>
      <w:spacing w:before="240" w:after="60"/>
      <w:outlineLvl w:val="0"/>
    </w:pPr>
    <w:rPr>
      <w:rFonts w:ascii="Cambria" w:hAnsi="Cambria"/>
      <w:b/>
      <w:bCs/>
      <w:kern w:val="32"/>
      <w:sz w:val="32"/>
      <w:szCs w:val="32"/>
    </w:rPr>
  </w:style>
  <w:style w:type="paragraph" w:styleId="Heading2">
    <w:name w:val="heading 2"/>
    <w:aliases w:val="F7 Sub Heading"/>
    <w:basedOn w:val="Normal"/>
    <w:next w:val="Normal"/>
    <w:link w:val="Heading2Char"/>
    <w:uiPriority w:val="1"/>
    <w:unhideWhenUsed/>
    <w:qFormat/>
    <w:rsid w:val="00695969"/>
    <w:pPr>
      <w:keepNext/>
      <w:spacing w:before="240" w:after="60"/>
      <w:outlineLvl w:val="1"/>
    </w:pPr>
    <w:rPr>
      <w:rFonts w:ascii="Cambria" w:hAnsi="Cambria"/>
      <w:b/>
      <w:bCs/>
      <w:i/>
      <w:iCs/>
      <w:sz w:val="28"/>
      <w:szCs w:val="28"/>
    </w:rPr>
  </w:style>
  <w:style w:type="paragraph" w:styleId="Heading3">
    <w:name w:val="heading 3"/>
    <w:aliases w:val="F6 Sub sub Heading"/>
    <w:basedOn w:val="Normal"/>
    <w:next w:val="Normal"/>
    <w:link w:val="Heading3Char"/>
    <w:uiPriority w:val="2"/>
    <w:unhideWhenUsed/>
    <w:qFormat/>
    <w:rsid w:val="00AD031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3"/>
    <w:unhideWhenUsed/>
    <w:qFormat/>
    <w:rsid w:val="00A805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A805DF"/>
    <w:pPr>
      <w:spacing w:before="200" w:line="276" w:lineRule="auto"/>
      <w:ind w:left="1008" w:hanging="1008"/>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qFormat/>
    <w:rsid w:val="00A805DF"/>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A805DF"/>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A805DF"/>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semiHidden/>
    <w:unhideWhenUsed/>
    <w:qFormat/>
    <w:rsid w:val="00A805DF"/>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6D4"/>
    <w:pPr>
      <w:tabs>
        <w:tab w:val="center" w:pos="4153"/>
        <w:tab w:val="right" w:pos="8306"/>
      </w:tabs>
    </w:pPr>
  </w:style>
  <w:style w:type="paragraph" w:styleId="Footer">
    <w:name w:val="footer"/>
    <w:basedOn w:val="Normal"/>
    <w:link w:val="FooterChar"/>
    <w:uiPriority w:val="99"/>
    <w:rsid w:val="008716D4"/>
    <w:pPr>
      <w:tabs>
        <w:tab w:val="center" w:pos="4153"/>
        <w:tab w:val="right" w:pos="8306"/>
      </w:tabs>
    </w:pPr>
  </w:style>
  <w:style w:type="paragraph" w:customStyle="1" w:styleId="MainText">
    <w:name w:val="Main Text"/>
    <w:basedOn w:val="Normal"/>
    <w:rsid w:val="008716D4"/>
    <w:pPr>
      <w:spacing w:line="280" w:lineRule="exact"/>
    </w:pPr>
  </w:style>
  <w:style w:type="paragraph" w:customStyle="1" w:styleId="LGAItemNoHeading">
    <w:name w:val="LGA Item No Heading"/>
    <w:basedOn w:val="MainText"/>
    <w:rsid w:val="008716D4"/>
    <w:pPr>
      <w:spacing w:before="600" w:after="240"/>
    </w:pPr>
    <w:rPr>
      <w:rFonts w:ascii="Frutiger 55 Roman" w:hAnsi="Frutiger 55 Roman"/>
      <w:b/>
      <w:sz w:val="32"/>
    </w:rPr>
  </w:style>
  <w:style w:type="table" w:styleId="TableGrid">
    <w:name w:val="Table Grid"/>
    <w:basedOn w:val="TableNormal"/>
    <w:rsid w:val="0087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6"/>
    <w:unhideWhenUsed/>
    <w:qFormat/>
    <w:rsid w:val="00F366BC"/>
    <w:rPr>
      <w:b/>
      <w:bCs/>
      <w:sz w:val="20"/>
    </w:rPr>
  </w:style>
  <w:style w:type="character" w:customStyle="1" w:styleId="Heading2Char">
    <w:name w:val="Heading 2 Char"/>
    <w:aliases w:val="F7 Sub Heading Char"/>
    <w:link w:val="Heading2"/>
    <w:semiHidden/>
    <w:rsid w:val="00695969"/>
    <w:rPr>
      <w:rFonts w:ascii="Cambria" w:eastAsia="Times New Roman" w:hAnsi="Cambria" w:cs="Times New Roman"/>
      <w:b/>
      <w:bCs/>
      <w:i/>
      <w:iCs/>
      <w:sz w:val="28"/>
      <w:szCs w:val="28"/>
    </w:rPr>
  </w:style>
  <w:style w:type="paragraph" w:styleId="BodyText">
    <w:name w:val="Body Text"/>
    <w:aliases w:val="F4 Main Text,Bulline,Body Text2,Document,Body Text Char1,Body Text2 Char1,Body text,body text. Body text,body text."/>
    <w:basedOn w:val="Normal"/>
    <w:link w:val="BodyTextChar"/>
    <w:uiPriority w:val="4"/>
    <w:qFormat/>
    <w:rsid w:val="00221FA5"/>
    <w:pPr>
      <w:spacing w:before="120" w:after="120" w:line="276" w:lineRule="auto"/>
      <w:ind w:left="567"/>
      <w:jc w:val="both"/>
    </w:pPr>
    <w:rPr>
      <w:rFonts w:eastAsia="Arial"/>
      <w:szCs w:val="22"/>
      <w:lang w:eastAsia="en-US"/>
    </w:rPr>
  </w:style>
  <w:style w:type="character" w:customStyle="1" w:styleId="BodyTextChar">
    <w:name w:val="Body Text Char"/>
    <w:aliases w:val="F4 Main Text Char,Bulline Char,Body Text2 Char,Document Char,Body Text Char1 Char,Body Text2 Char1 Char,Body text Char,body text. Body text Char,body text. Char"/>
    <w:link w:val="BodyText"/>
    <w:uiPriority w:val="4"/>
    <w:rsid w:val="00221FA5"/>
    <w:rPr>
      <w:rFonts w:ascii="Arial" w:eastAsia="Arial" w:hAnsi="Arial"/>
      <w:sz w:val="22"/>
      <w:szCs w:val="22"/>
      <w:lang w:eastAsia="en-US"/>
    </w:rPr>
  </w:style>
  <w:style w:type="paragraph" w:styleId="ListParagraph">
    <w:name w:val="List Paragraph"/>
    <w:aliases w:val="F5 List Paragraph"/>
    <w:basedOn w:val="Normal"/>
    <w:uiPriority w:val="34"/>
    <w:qFormat/>
    <w:rsid w:val="00221FA5"/>
    <w:pPr>
      <w:numPr>
        <w:numId w:val="1"/>
      </w:numPr>
      <w:spacing w:before="120" w:after="360" w:line="276" w:lineRule="auto"/>
      <w:contextualSpacing/>
    </w:pPr>
    <w:rPr>
      <w:rFonts w:eastAsia="Arial"/>
      <w:szCs w:val="22"/>
      <w:lang w:eastAsia="en-US"/>
    </w:rPr>
  </w:style>
  <w:style w:type="paragraph" w:styleId="FootnoteText">
    <w:name w:val="footnote text"/>
    <w:basedOn w:val="Normal"/>
    <w:link w:val="FootnoteTextChar"/>
    <w:uiPriority w:val="99"/>
    <w:unhideWhenUsed/>
    <w:rsid w:val="00221FA5"/>
    <w:pPr>
      <w:spacing w:before="120"/>
    </w:pPr>
    <w:rPr>
      <w:sz w:val="20"/>
      <w:lang w:eastAsia="en-US"/>
    </w:rPr>
  </w:style>
  <w:style w:type="character" w:customStyle="1" w:styleId="FootnoteTextChar">
    <w:name w:val="Footnote Text Char"/>
    <w:link w:val="FootnoteText"/>
    <w:uiPriority w:val="99"/>
    <w:rsid w:val="00221FA5"/>
    <w:rPr>
      <w:rFonts w:ascii="Arial" w:hAnsi="Arial"/>
      <w:lang w:eastAsia="en-US"/>
    </w:rPr>
  </w:style>
  <w:style w:type="character" w:styleId="FootnoteReference">
    <w:name w:val="footnote reference"/>
    <w:uiPriority w:val="99"/>
    <w:unhideWhenUsed/>
    <w:rsid w:val="00221FA5"/>
    <w:rPr>
      <w:vertAlign w:val="superscript"/>
    </w:rPr>
  </w:style>
  <w:style w:type="paragraph" w:styleId="BalloonText">
    <w:name w:val="Balloon Text"/>
    <w:basedOn w:val="Normal"/>
    <w:link w:val="BalloonTextChar"/>
    <w:rsid w:val="007A2983"/>
    <w:rPr>
      <w:rFonts w:ascii="Tahoma" w:hAnsi="Tahoma" w:cs="Tahoma"/>
      <w:sz w:val="16"/>
      <w:szCs w:val="16"/>
    </w:rPr>
  </w:style>
  <w:style w:type="character" w:customStyle="1" w:styleId="BalloonTextChar">
    <w:name w:val="Balloon Text Char"/>
    <w:link w:val="BalloonText"/>
    <w:rsid w:val="007A2983"/>
    <w:rPr>
      <w:rFonts w:ascii="Tahoma" w:hAnsi="Tahoma" w:cs="Tahoma"/>
      <w:sz w:val="16"/>
      <w:szCs w:val="16"/>
    </w:rPr>
  </w:style>
  <w:style w:type="character" w:customStyle="1" w:styleId="FooterChar">
    <w:name w:val="Footer Char"/>
    <w:link w:val="Footer"/>
    <w:uiPriority w:val="99"/>
    <w:rsid w:val="00B34FC3"/>
    <w:rPr>
      <w:rFonts w:ascii="Frutiger 45 Light" w:hAnsi="Frutiger 45 Light"/>
      <w:sz w:val="22"/>
    </w:rPr>
  </w:style>
  <w:style w:type="character" w:customStyle="1" w:styleId="Heading1Char">
    <w:name w:val="Heading 1 Char"/>
    <w:aliases w:val="F8 Main Heading Char"/>
    <w:link w:val="Heading1"/>
    <w:rsid w:val="006356AE"/>
    <w:rPr>
      <w:rFonts w:ascii="Cambria" w:eastAsia="Times New Roman" w:hAnsi="Cambria" w:cs="Times New Roman"/>
      <w:b/>
      <w:bCs/>
      <w:kern w:val="32"/>
      <w:sz w:val="32"/>
      <w:szCs w:val="32"/>
    </w:rPr>
  </w:style>
  <w:style w:type="table" w:customStyle="1" w:styleId="LightList1">
    <w:name w:val="Light List1"/>
    <w:basedOn w:val="TableNormal"/>
    <w:uiPriority w:val="61"/>
    <w:rsid w:val="00DE4842"/>
    <w:rPr>
      <w:rFonts w:ascii="Arial" w:eastAsia="Arial" w:hAnsi="Arial"/>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rsid w:val="00142356"/>
    <w:rPr>
      <w:sz w:val="16"/>
      <w:szCs w:val="16"/>
    </w:rPr>
  </w:style>
  <w:style w:type="paragraph" w:styleId="CommentText">
    <w:name w:val="annotation text"/>
    <w:basedOn w:val="Normal"/>
    <w:link w:val="CommentTextChar"/>
    <w:uiPriority w:val="99"/>
    <w:rsid w:val="00142356"/>
    <w:rPr>
      <w:sz w:val="20"/>
    </w:rPr>
  </w:style>
  <w:style w:type="character" w:customStyle="1" w:styleId="CommentTextChar">
    <w:name w:val="Comment Text Char"/>
    <w:link w:val="CommentText"/>
    <w:uiPriority w:val="99"/>
    <w:rsid w:val="00142356"/>
    <w:rPr>
      <w:rFonts w:ascii="Frutiger 45 Light" w:hAnsi="Frutiger 45 Light"/>
    </w:rPr>
  </w:style>
  <w:style w:type="paragraph" w:styleId="CommentSubject">
    <w:name w:val="annotation subject"/>
    <w:basedOn w:val="CommentText"/>
    <w:next w:val="CommentText"/>
    <w:link w:val="CommentSubjectChar"/>
    <w:rsid w:val="00142356"/>
    <w:rPr>
      <w:b/>
      <w:bCs/>
    </w:rPr>
  </w:style>
  <w:style w:type="character" w:customStyle="1" w:styleId="CommentSubjectChar">
    <w:name w:val="Comment Subject Char"/>
    <w:link w:val="CommentSubject"/>
    <w:rsid w:val="00142356"/>
    <w:rPr>
      <w:rFonts w:ascii="Frutiger 45 Light" w:hAnsi="Frutiger 45 Light"/>
      <w:b/>
      <w:bCs/>
    </w:rPr>
  </w:style>
  <w:style w:type="table" w:customStyle="1" w:styleId="BMGTable">
    <w:name w:val="BMG Table"/>
    <w:basedOn w:val="TableNormal"/>
    <w:uiPriority w:val="61"/>
    <w:rsid w:val="00374A8B"/>
    <w:pPr>
      <w:spacing w:before="60" w:after="60"/>
      <w:jc w:val="center"/>
    </w:pPr>
    <w:rPr>
      <w:rFonts w:ascii="Arial" w:eastAsia="Arial" w:hAnsi="Arial"/>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wordWrap/>
        <w:spacing w:beforeLines="0" w:afterLines="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pPr>
        <w:jc w:val="left"/>
      </w:pPr>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3Char">
    <w:name w:val="Heading 3 Char"/>
    <w:aliases w:val="F6 Sub sub Heading Char"/>
    <w:basedOn w:val="DefaultParagraphFont"/>
    <w:link w:val="Heading3"/>
    <w:semiHidden/>
    <w:rsid w:val="00AD031E"/>
    <w:rPr>
      <w:rFonts w:ascii="Cambria" w:hAnsi="Cambria"/>
      <w:b/>
      <w:bCs/>
      <w:sz w:val="26"/>
      <w:szCs w:val="26"/>
    </w:rPr>
  </w:style>
  <w:style w:type="paragraph" w:customStyle="1" w:styleId="F11Figure">
    <w:name w:val="F11 Figure"/>
    <w:basedOn w:val="NoSpacing"/>
    <w:next w:val="BodyText"/>
    <w:link w:val="F11FigureChar"/>
    <w:uiPriority w:val="7"/>
    <w:qFormat/>
    <w:rsid w:val="00985CF3"/>
    <w:pPr>
      <w:pBdr>
        <w:top w:val="single" w:sz="4" w:space="1" w:color="4F81BD" w:themeColor="accent1"/>
        <w:bottom w:val="single" w:sz="4" w:space="1" w:color="4F81BD" w:themeColor="accent1"/>
      </w:pBdr>
      <w:spacing w:before="120" w:after="360"/>
    </w:pPr>
    <w:rPr>
      <w:rFonts w:asciiTheme="minorHAnsi" w:eastAsiaTheme="minorHAnsi" w:hAnsiTheme="minorHAnsi" w:cstheme="minorBidi"/>
      <w:sz w:val="18"/>
      <w:szCs w:val="22"/>
      <w:lang w:eastAsia="en-US"/>
    </w:rPr>
  </w:style>
  <w:style w:type="character" w:customStyle="1" w:styleId="F11FigureChar">
    <w:name w:val="F11 Figure Char"/>
    <w:basedOn w:val="DefaultParagraphFont"/>
    <w:link w:val="F11Figure"/>
    <w:uiPriority w:val="7"/>
    <w:rsid w:val="00985CF3"/>
    <w:rPr>
      <w:rFonts w:asciiTheme="minorHAnsi" w:eastAsiaTheme="minorHAnsi" w:hAnsiTheme="minorHAnsi" w:cstheme="minorBidi"/>
      <w:sz w:val="18"/>
      <w:szCs w:val="22"/>
      <w:lang w:eastAsia="en-US"/>
    </w:rPr>
  </w:style>
  <w:style w:type="paragraph" w:styleId="NoSpacing">
    <w:name w:val="No Spacing"/>
    <w:uiPriority w:val="1"/>
    <w:qFormat/>
    <w:rsid w:val="00985CF3"/>
    <w:rPr>
      <w:rFonts w:ascii="Arial" w:hAnsi="Arial"/>
      <w:sz w:val="24"/>
    </w:rPr>
  </w:style>
  <w:style w:type="character" w:customStyle="1" w:styleId="Heading4Char">
    <w:name w:val="Heading 4 Char"/>
    <w:basedOn w:val="DefaultParagraphFont"/>
    <w:link w:val="Heading4"/>
    <w:uiPriority w:val="3"/>
    <w:rsid w:val="00A805D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A805DF"/>
    <w:rPr>
      <w:rFonts w:asciiTheme="majorHAnsi" w:eastAsiaTheme="majorEastAsia" w:hAnsiTheme="majorHAnsi" w:cstheme="majorBidi"/>
      <w:b/>
      <w:bCs/>
      <w:color w:val="7F7F7F" w:themeColor="text1" w:themeTint="80"/>
      <w:sz w:val="22"/>
      <w:szCs w:val="22"/>
      <w:lang w:eastAsia="en-US"/>
    </w:rPr>
  </w:style>
  <w:style w:type="character" w:customStyle="1" w:styleId="Heading6Char">
    <w:name w:val="Heading 6 Char"/>
    <w:basedOn w:val="DefaultParagraphFont"/>
    <w:link w:val="Heading6"/>
    <w:uiPriority w:val="9"/>
    <w:rsid w:val="00A805DF"/>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A805DF"/>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A805DF"/>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805DF"/>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nhideWhenUsed/>
    <w:rsid w:val="00E43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300">
      <w:bodyDiv w:val="1"/>
      <w:marLeft w:val="0"/>
      <w:marRight w:val="0"/>
      <w:marTop w:val="0"/>
      <w:marBottom w:val="0"/>
      <w:divBdr>
        <w:top w:val="none" w:sz="0" w:space="0" w:color="auto"/>
        <w:left w:val="none" w:sz="0" w:space="0" w:color="auto"/>
        <w:bottom w:val="none" w:sz="0" w:space="0" w:color="auto"/>
        <w:right w:val="none" w:sz="0" w:space="0" w:color="auto"/>
      </w:divBdr>
    </w:div>
    <w:div w:id="167063402">
      <w:bodyDiv w:val="1"/>
      <w:marLeft w:val="0"/>
      <w:marRight w:val="0"/>
      <w:marTop w:val="0"/>
      <w:marBottom w:val="0"/>
      <w:divBdr>
        <w:top w:val="none" w:sz="0" w:space="0" w:color="auto"/>
        <w:left w:val="none" w:sz="0" w:space="0" w:color="auto"/>
        <w:bottom w:val="none" w:sz="0" w:space="0" w:color="auto"/>
        <w:right w:val="none" w:sz="0" w:space="0" w:color="auto"/>
      </w:divBdr>
    </w:div>
    <w:div w:id="7573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Holdstock@loc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ga.moderngov.co.uk/ieListDocuments.aspx?CId=132&amp;MId=2977&amp;Ver=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A133-4AD5-43F5-966A-C53E9C7E8740}">
  <ds:schemaRefs>
    <ds:schemaRef ds:uri="c8febe6a-14d9-43ab-83c3-c48f478fa47c"/>
    <ds:schemaRef ds:uri="1c8a0e75-f4bc-4eb4-8ed0-578eaea9e1ca"/>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5B0B6E7-2D0C-40BE-B520-2ABD04942A95}">
  <ds:schemaRefs>
    <ds:schemaRef ds:uri="http://schemas.microsoft.com/sharepoint/v3/contenttype/forms"/>
  </ds:schemaRefs>
</ds:datastoreItem>
</file>

<file path=customXml/itemProps3.xml><?xml version="1.0" encoding="utf-8"?>
<ds:datastoreItem xmlns:ds="http://schemas.openxmlformats.org/officeDocument/2006/customXml" ds:itemID="{8E7828DF-EA23-4DB9-87A2-19DF2C6BA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52B8D-6821-4423-9E6C-8F99D87C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2354F044</Template>
  <TotalTime>3</TotalTime>
  <Pages>12</Pages>
  <Words>3594</Words>
  <Characters>18047</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LGA Campaigns for 2012-2013</vt:lpstr>
    </vt:vector>
  </TitlesOfParts>
  <Company>Local Government Group</Company>
  <LinksUpToDate>false</LinksUpToDate>
  <CharactersWithSpaces>21598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 Campaigns for 2012-2013</dc:title>
  <dc:creator>David.Holdstock</dc:creator>
  <cp:lastModifiedBy>Paul Goodchild</cp:lastModifiedBy>
  <cp:revision>3</cp:revision>
  <cp:lastPrinted>2016-02-23T08:48:00Z</cp:lastPrinted>
  <dcterms:created xsi:type="dcterms:W3CDTF">2016-02-25T14:29:00Z</dcterms:created>
  <dcterms:modified xsi:type="dcterms:W3CDTF">2016-02-25T14:32:00Z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